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239D" w:rsidRPr="00AB239D" w:rsidRDefault="00AB239D" w:rsidP="00AB239D">
      <w:pPr>
        <w:jc w:val="center"/>
        <w:rPr>
          <w:sz w:val="28"/>
          <w:szCs w:val="28"/>
          <w:u w:val="single"/>
        </w:rPr>
      </w:pPr>
      <w:r w:rsidRPr="00AB239D">
        <w:rPr>
          <w:sz w:val="28"/>
          <w:szCs w:val="28"/>
          <w:u w:val="single"/>
        </w:rPr>
        <w:t>Human Rights, Peace, and the Relationship of Moral and Legal Rights</w:t>
      </w:r>
    </w:p>
    <w:p w:rsidR="00AB239D" w:rsidRDefault="003757FA">
      <w:pPr>
        <w:rPr>
          <w:sz w:val="24"/>
          <w:szCs w:val="24"/>
        </w:rPr>
      </w:pPr>
      <w:r>
        <w:rPr>
          <w:sz w:val="24"/>
          <w:szCs w:val="24"/>
        </w:rPr>
        <w:tab/>
      </w:r>
      <w:r>
        <w:rPr>
          <w:sz w:val="24"/>
          <w:szCs w:val="24"/>
        </w:rPr>
        <w:tab/>
      </w:r>
      <w:r>
        <w:rPr>
          <w:sz w:val="24"/>
          <w:szCs w:val="24"/>
        </w:rPr>
        <w:tab/>
      </w:r>
      <w:r>
        <w:rPr>
          <w:sz w:val="24"/>
          <w:szCs w:val="24"/>
        </w:rPr>
        <w:tab/>
      </w:r>
      <w:bookmarkStart w:id="0" w:name="_GoBack"/>
      <w:bookmarkEnd w:id="0"/>
      <w:r>
        <w:rPr>
          <w:sz w:val="24"/>
          <w:szCs w:val="24"/>
        </w:rPr>
        <w:tab/>
      </w:r>
      <w:r>
        <w:rPr>
          <w:sz w:val="24"/>
          <w:szCs w:val="24"/>
        </w:rPr>
        <w:tab/>
      </w:r>
      <w:r>
        <w:rPr>
          <w:sz w:val="24"/>
          <w:szCs w:val="24"/>
        </w:rPr>
        <w:tab/>
      </w:r>
      <w:r>
        <w:rPr>
          <w:sz w:val="24"/>
          <w:szCs w:val="24"/>
        </w:rPr>
        <w:tab/>
        <w:t>Brian H. Bix</w:t>
      </w:r>
      <w:r>
        <w:rPr>
          <w:rStyle w:val="FootnoteReference"/>
          <w:sz w:val="24"/>
          <w:szCs w:val="24"/>
        </w:rPr>
        <w:footnoteReference w:id="1"/>
      </w:r>
    </w:p>
    <w:p w:rsidR="003757FA" w:rsidRDefault="003757FA">
      <w:pPr>
        <w:rPr>
          <w:sz w:val="24"/>
          <w:szCs w:val="24"/>
        </w:rPr>
      </w:pPr>
    </w:p>
    <w:p w:rsidR="00A74BEB" w:rsidRPr="00A74BEB" w:rsidRDefault="00A74BEB">
      <w:pPr>
        <w:rPr>
          <w:i/>
          <w:sz w:val="24"/>
          <w:szCs w:val="24"/>
        </w:rPr>
      </w:pPr>
      <w:r>
        <w:rPr>
          <w:i/>
          <w:sz w:val="24"/>
          <w:szCs w:val="24"/>
        </w:rPr>
        <w:t xml:space="preserve">Introduction </w:t>
      </w:r>
    </w:p>
    <w:p w:rsidR="00A74BEB" w:rsidRDefault="0082000E" w:rsidP="00592DA5">
      <w:pPr>
        <w:rPr>
          <w:sz w:val="24"/>
          <w:szCs w:val="24"/>
        </w:rPr>
      </w:pPr>
      <w:r>
        <w:rPr>
          <w:sz w:val="24"/>
          <w:szCs w:val="24"/>
        </w:rPr>
        <w:tab/>
      </w:r>
      <w:r w:rsidR="00592DA5">
        <w:rPr>
          <w:sz w:val="24"/>
          <w:szCs w:val="24"/>
        </w:rPr>
        <w:t xml:space="preserve">As you all know, the theme of this </w:t>
      </w:r>
      <w:r w:rsidR="00592DA5" w:rsidRPr="00592DA5">
        <w:rPr>
          <w:sz w:val="24"/>
          <w:szCs w:val="24"/>
        </w:rPr>
        <w:t>2017 IVR</w:t>
      </w:r>
      <w:r w:rsidR="00592DA5">
        <w:rPr>
          <w:sz w:val="24"/>
          <w:szCs w:val="24"/>
        </w:rPr>
        <w:t xml:space="preserve"> World Congress is “Peace B</w:t>
      </w:r>
      <w:r w:rsidR="00592DA5" w:rsidRPr="00592DA5">
        <w:rPr>
          <w:sz w:val="24"/>
          <w:szCs w:val="24"/>
        </w:rPr>
        <w:t>ased on Human Rights</w:t>
      </w:r>
      <w:r w:rsidR="00592DA5">
        <w:rPr>
          <w:sz w:val="24"/>
          <w:szCs w:val="24"/>
        </w:rPr>
        <w:t>.”</w:t>
      </w:r>
      <w:r w:rsidR="00592DA5" w:rsidRPr="00592DA5">
        <w:rPr>
          <w:sz w:val="24"/>
          <w:szCs w:val="24"/>
        </w:rPr>
        <w:t xml:space="preserve"> </w:t>
      </w:r>
      <w:r>
        <w:rPr>
          <w:sz w:val="24"/>
          <w:szCs w:val="24"/>
        </w:rPr>
        <w:t xml:space="preserve">The recognition of human rights has been shown to be correlated with peace and prosperity.  </w:t>
      </w:r>
      <w:r w:rsidR="002F27D3">
        <w:rPr>
          <w:sz w:val="24"/>
          <w:szCs w:val="24"/>
        </w:rPr>
        <w:t>Despite this, the</w:t>
      </w:r>
      <w:r w:rsidR="00A74BEB">
        <w:rPr>
          <w:sz w:val="24"/>
          <w:szCs w:val="24"/>
        </w:rPr>
        <w:t xml:space="preserve"> type and</w:t>
      </w:r>
      <w:r w:rsidR="002F27D3">
        <w:rPr>
          <w:sz w:val="24"/>
          <w:szCs w:val="24"/>
        </w:rPr>
        <w:t xml:space="preserve"> level of recognition and protection for human rights varies s</w:t>
      </w:r>
      <w:r w:rsidR="00A74BEB">
        <w:rPr>
          <w:sz w:val="24"/>
          <w:szCs w:val="24"/>
        </w:rPr>
        <w:t xml:space="preserve">ignificantly across countries.  </w:t>
      </w:r>
      <w:r w:rsidR="00294511">
        <w:rPr>
          <w:sz w:val="24"/>
          <w:szCs w:val="24"/>
        </w:rPr>
        <w:t xml:space="preserve">Many countries purport to recognize human rights through their constitutions, statutes, or international treaties, but questions </w:t>
      </w:r>
      <w:r w:rsidR="00571A1E">
        <w:rPr>
          <w:sz w:val="24"/>
          <w:szCs w:val="24"/>
        </w:rPr>
        <w:t>arise</w:t>
      </w:r>
      <w:r w:rsidR="00294511">
        <w:rPr>
          <w:sz w:val="24"/>
          <w:szCs w:val="24"/>
        </w:rPr>
        <w:t xml:space="preserve"> when the rights protected in practice vary</w:t>
      </w:r>
      <w:r w:rsidR="00571A1E">
        <w:rPr>
          <w:sz w:val="24"/>
          <w:szCs w:val="24"/>
        </w:rPr>
        <w:t xml:space="preserve">, at least in some </w:t>
      </w:r>
      <w:r w:rsidR="00294511">
        <w:rPr>
          <w:sz w:val="24"/>
          <w:szCs w:val="24"/>
        </w:rPr>
        <w:t>commentators</w:t>
      </w:r>
      <w:r w:rsidR="00571A1E">
        <w:rPr>
          <w:sz w:val="24"/>
          <w:szCs w:val="24"/>
        </w:rPr>
        <w:t>’</w:t>
      </w:r>
      <w:r w:rsidR="00294511">
        <w:rPr>
          <w:sz w:val="24"/>
          <w:szCs w:val="24"/>
        </w:rPr>
        <w:t xml:space="preserve"> view</w:t>
      </w:r>
      <w:r w:rsidR="00571A1E">
        <w:rPr>
          <w:sz w:val="24"/>
          <w:szCs w:val="24"/>
        </w:rPr>
        <w:t>s,</w:t>
      </w:r>
      <w:r w:rsidR="00294511">
        <w:rPr>
          <w:sz w:val="24"/>
          <w:szCs w:val="24"/>
        </w:rPr>
        <w:t xml:space="preserve"> </w:t>
      </w:r>
      <w:r w:rsidR="00571A1E">
        <w:rPr>
          <w:sz w:val="24"/>
          <w:szCs w:val="24"/>
        </w:rPr>
        <w:t>from what</w:t>
      </w:r>
      <w:r w:rsidR="00294511">
        <w:rPr>
          <w:sz w:val="24"/>
          <w:szCs w:val="24"/>
        </w:rPr>
        <w:t xml:space="preserve"> the scope of the rights </w:t>
      </w:r>
      <w:r w:rsidR="00571A1E">
        <w:rPr>
          <w:sz w:val="24"/>
          <w:szCs w:val="24"/>
        </w:rPr>
        <w:t xml:space="preserve">actually are, or </w:t>
      </w:r>
      <w:r w:rsidR="00294511">
        <w:rPr>
          <w:sz w:val="24"/>
          <w:szCs w:val="24"/>
        </w:rPr>
        <w:t xml:space="preserve">should be.  </w:t>
      </w:r>
      <w:r w:rsidR="00285F62">
        <w:rPr>
          <w:sz w:val="24"/>
          <w:szCs w:val="24"/>
        </w:rPr>
        <w:t xml:space="preserve">The Constitution of the old Soviet Union claimed a wide range of protection for </w:t>
      </w:r>
      <w:r w:rsidR="000D536C">
        <w:rPr>
          <w:sz w:val="24"/>
          <w:szCs w:val="24"/>
        </w:rPr>
        <w:t>human</w:t>
      </w:r>
      <w:r w:rsidR="00285F62">
        <w:rPr>
          <w:sz w:val="24"/>
          <w:szCs w:val="24"/>
        </w:rPr>
        <w:t xml:space="preserve"> rights,</w:t>
      </w:r>
      <w:r w:rsidR="000D536C">
        <w:rPr>
          <w:rStyle w:val="FootnoteReference"/>
          <w:sz w:val="24"/>
          <w:szCs w:val="24"/>
        </w:rPr>
        <w:footnoteReference w:id="2"/>
      </w:r>
      <w:r w:rsidR="00285F62">
        <w:rPr>
          <w:sz w:val="24"/>
          <w:szCs w:val="24"/>
        </w:rPr>
        <w:t xml:space="preserve"> though for most citizens of that country, the actual protection of such rights was badly lacking.  </w:t>
      </w:r>
      <w:r w:rsidR="00294511">
        <w:rPr>
          <w:sz w:val="24"/>
          <w:szCs w:val="24"/>
        </w:rPr>
        <w:t>At the other extreme, h</w:t>
      </w:r>
      <w:r w:rsidR="00A74BEB">
        <w:rPr>
          <w:sz w:val="24"/>
          <w:szCs w:val="24"/>
        </w:rPr>
        <w:t>uman rights ha</w:t>
      </w:r>
      <w:r w:rsidR="00EA7E9A">
        <w:rPr>
          <w:sz w:val="24"/>
          <w:szCs w:val="24"/>
        </w:rPr>
        <w:t>ve</w:t>
      </w:r>
      <w:r w:rsidR="00A74BEB">
        <w:rPr>
          <w:sz w:val="24"/>
          <w:szCs w:val="24"/>
        </w:rPr>
        <w:t xml:space="preserve"> a </w:t>
      </w:r>
      <w:r w:rsidR="00294511">
        <w:rPr>
          <w:sz w:val="24"/>
          <w:szCs w:val="24"/>
        </w:rPr>
        <w:t>distinctive if uncertain status</w:t>
      </w:r>
      <w:r w:rsidR="00A74BEB">
        <w:rPr>
          <w:sz w:val="24"/>
          <w:szCs w:val="24"/>
        </w:rPr>
        <w:t xml:space="preserve"> in </w:t>
      </w:r>
      <w:r w:rsidR="00294511">
        <w:rPr>
          <w:sz w:val="24"/>
          <w:szCs w:val="24"/>
        </w:rPr>
        <w:t xml:space="preserve">those </w:t>
      </w:r>
      <w:r w:rsidR="00A74BEB">
        <w:rPr>
          <w:sz w:val="24"/>
          <w:szCs w:val="24"/>
        </w:rPr>
        <w:t xml:space="preserve">legal systems </w:t>
      </w:r>
      <w:r w:rsidR="00294511">
        <w:rPr>
          <w:sz w:val="24"/>
          <w:szCs w:val="24"/>
        </w:rPr>
        <w:t xml:space="preserve">where they are not </w:t>
      </w:r>
      <w:r w:rsidR="0098194A">
        <w:rPr>
          <w:sz w:val="24"/>
          <w:szCs w:val="24"/>
        </w:rPr>
        <w:t xml:space="preserve">even </w:t>
      </w:r>
      <w:r w:rsidR="00294511">
        <w:rPr>
          <w:sz w:val="24"/>
          <w:szCs w:val="24"/>
        </w:rPr>
        <w:t>supported by c</w:t>
      </w:r>
      <w:r w:rsidR="00A74BEB">
        <w:rPr>
          <w:sz w:val="24"/>
          <w:szCs w:val="24"/>
        </w:rPr>
        <w:t>onventional positive sources</w:t>
      </w:r>
      <w:r w:rsidR="0098194A">
        <w:rPr>
          <w:sz w:val="24"/>
          <w:szCs w:val="24"/>
        </w:rPr>
        <w:t xml:space="preserve"> – no constitutional protections, treaties and conventions not signed, and no protection in statutory law or judicial decisions.  In such countries, one might ask:  </w:t>
      </w:r>
      <w:r w:rsidR="00571A1E">
        <w:rPr>
          <w:sz w:val="24"/>
          <w:szCs w:val="24"/>
        </w:rPr>
        <w:t xml:space="preserve">Can human rights norms be said to be part of the law even where there is no conventional social source?  </w:t>
      </w:r>
      <w:r w:rsidR="0098194A">
        <w:rPr>
          <w:sz w:val="24"/>
          <w:szCs w:val="24"/>
        </w:rPr>
        <w:t xml:space="preserve"> We will turn to that question briefly in what follows, but what I want to emphasize is that t</w:t>
      </w:r>
      <w:r w:rsidR="00A74BEB">
        <w:rPr>
          <w:sz w:val="24"/>
          <w:szCs w:val="24"/>
        </w:rPr>
        <w:t>he connection between general</w:t>
      </w:r>
      <w:r w:rsidR="00EA7E9A">
        <w:rPr>
          <w:sz w:val="24"/>
          <w:szCs w:val="24"/>
        </w:rPr>
        <w:t xml:space="preserve"> </w:t>
      </w:r>
      <w:r w:rsidR="00EA7E9A">
        <w:rPr>
          <w:sz w:val="24"/>
          <w:szCs w:val="24"/>
        </w:rPr>
        <w:lastRenderedPageBreak/>
        <w:t xml:space="preserve">moral standards and </w:t>
      </w:r>
      <w:r w:rsidR="0098194A">
        <w:rPr>
          <w:sz w:val="24"/>
          <w:szCs w:val="24"/>
        </w:rPr>
        <w:t>human rights</w:t>
      </w:r>
      <w:r w:rsidR="00A74BEB">
        <w:rPr>
          <w:sz w:val="24"/>
          <w:szCs w:val="24"/>
        </w:rPr>
        <w:t xml:space="preserve"> </w:t>
      </w:r>
      <w:r w:rsidR="0098194A">
        <w:rPr>
          <w:sz w:val="24"/>
          <w:szCs w:val="24"/>
        </w:rPr>
        <w:t>itself</w:t>
      </w:r>
      <w:r w:rsidR="00A74BEB">
        <w:rPr>
          <w:sz w:val="24"/>
          <w:szCs w:val="24"/>
        </w:rPr>
        <w:t xml:space="preserve"> complicates the already intricate problems relating to relationship of conventional law and morality.  These issues</w:t>
      </w:r>
      <w:r w:rsidR="0098194A">
        <w:rPr>
          <w:sz w:val="24"/>
          <w:szCs w:val="24"/>
        </w:rPr>
        <w:t>, along with the foundational question of the nature of legal obligation,</w:t>
      </w:r>
      <w:r w:rsidR="00A74BEB">
        <w:rPr>
          <w:sz w:val="24"/>
          <w:szCs w:val="24"/>
        </w:rPr>
        <w:t xml:space="preserve"> will be explored</w:t>
      </w:r>
      <w:r w:rsidR="001A7BB2">
        <w:rPr>
          <w:sz w:val="24"/>
          <w:szCs w:val="24"/>
        </w:rPr>
        <w:t xml:space="preserve"> in</w:t>
      </w:r>
      <w:r w:rsidR="00A74BEB">
        <w:rPr>
          <w:sz w:val="24"/>
          <w:szCs w:val="24"/>
        </w:rPr>
        <w:t xml:space="preserve"> this </w:t>
      </w:r>
      <w:r w:rsidR="001A7BB2">
        <w:rPr>
          <w:sz w:val="24"/>
          <w:szCs w:val="24"/>
        </w:rPr>
        <w:t>article</w:t>
      </w:r>
      <w:r w:rsidR="00A74BEB">
        <w:rPr>
          <w:sz w:val="24"/>
          <w:szCs w:val="24"/>
        </w:rPr>
        <w:t xml:space="preserve">. </w:t>
      </w:r>
      <w:r w:rsidR="005D2669">
        <w:rPr>
          <w:sz w:val="24"/>
          <w:szCs w:val="24"/>
        </w:rPr>
        <w:t xml:space="preserve"> Many other important topics – like the ultimate grounding of human rights, and the connection between human rights, sovereignty, and international law</w:t>
      </w:r>
      <w:r w:rsidR="007A7C2F">
        <w:rPr>
          <w:rStyle w:val="FootnoteReference"/>
          <w:sz w:val="24"/>
          <w:szCs w:val="24"/>
        </w:rPr>
        <w:footnoteReference w:id="3"/>
      </w:r>
      <w:r w:rsidR="005D2669">
        <w:rPr>
          <w:sz w:val="24"/>
          <w:szCs w:val="24"/>
        </w:rPr>
        <w:t xml:space="preserve"> -- will </w:t>
      </w:r>
      <w:r w:rsidR="0098194A">
        <w:rPr>
          <w:sz w:val="24"/>
          <w:szCs w:val="24"/>
        </w:rPr>
        <w:t xml:space="preserve">have to </w:t>
      </w:r>
      <w:r w:rsidR="005D2669">
        <w:rPr>
          <w:sz w:val="24"/>
          <w:szCs w:val="24"/>
        </w:rPr>
        <w:t xml:space="preserve">be left to other speakers or for other occasions. </w:t>
      </w:r>
    </w:p>
    <w:p w:rsidR="00924DC8" w:rsidRDefault="00924DC8">
      <w:pPr>
        <w:rPr>
          <w:sz w:val="24"/>
          <w:szCs w:val="24"/>
        </w:rPr>
      </w:pPr>
    </w:p>
    <w:p w:rsidR="00A74BEB" w:rsidRPr="00A74BEB" w:rsidRDefault="00A74BEB">
      <w:pPr>
        <w:rPr>
          <w:i/>
          <w:sz w:val="24"/>
          <w:szCs w:val="24"/>
        </w:rPr>
      </w:pPr>
      <w:r>
        <w:rPr>
          <w:i/>
          <w:sz w:val="24"/>
          <w:szCs w:val="24"/>
        </w:rPr>
        <w:t>I.  Human Rights and Morality</w:t>
      </w:r>
    </w:p>
    <w:p w:rsidR="00AB239D" w:rsidRDefault="00F46A49">
      <w:pPr>
        <w:rPr>
          <w:sz w:val="24"/>
          <w:szCs w:val="24"/>
        </w:rPr>
      </w:pPr>
      <w:r>
        <w:rPr>
          <w:sz w:val="24"/>
          <w:szCs w:val="24"/>
        </w:rPr>
        <w:tab/>
        <w:t xml:space="preserve">What is the relationship of human rights, moral rights and legal rights?  The topic is as complicated as it is important. </w:t>
      </w:r>
    </w:p>
    <w:p w:rsidR="00BE6B50" w:rsidRDefault="00BE6B50">
      <w:pPr>
        <w:rPr>
          <w:sz w:val="24"/>
          <w:szCs w:val="24"/>
        </w:rPr>
      </w:pPr>
      <w:r>
        <w:rPr>
          <w:sz w:val="24"/>
          <w:szCs w:val="24"/>
        </w:rPr>
        <w:tab/>
        <w:t>The question of the relationship of law and morality is a traditional one i</w:t>
      </w:r>
      <w:r w:rsidR="001A7BB2">
        <w:rPr>
          <w:sz w:val="24"/>
          <w:szCs w:val="24"/>
        </w:rPr>
        <w:t>n</w:t>
      </w:r>
      <w:r>
        <w:rPr>
          <w:sz w:val="24"/>
          <w:szCs w:val="24"/>
        </w:rPr>
        <w:t xml:space="preserve"> legal philosophy – perhaps to the point of eliciting sighs of despair from those</w:t>
      </w:r>
      <w:r w:rsidR="000B1101">
        <w:rPr>
          <w:sz w:val="24"/>
          <w:szCs w:val="24"/>
        </w:rPr>
        <w:t xml:space="preserve"> not</w:t>
      </w:r>
      <w:r>
        <w:rPr>
          <w:sz w:val="24"/>
          <w:szCs w:val="24"/>
        </w:rPr>
        <w:t xml:space="preserve"> working in the area who think that they have </w:t>
      </w:r>
      <w:r w:rsidR="000B1101">
        <w:rPr>
          <w:sz w:val="24"/>
          <w:szCs w:val="24"/>
        </w:rPr>
        <w:t>been dragged</w:t>
      </w:r>
      <w:r>
        <w:rPr>
          <w:sz w:val="24"/>
          <w:szCs w:val="24"/>
        </w:rPr>
        <w:t xml:space="preserve"> down this theoretical road a few times too many.  However, this paper is not, you may be pleased to hear, yet another rehash of the Hart-Fu</w:t>
      </w:r>
      <w:r w:rsidR="000470A1">
        <w:rPr>
          <w:sz w:val="24"/>
          <w:szCs w:val="24"/>
        </w:rPr>
        <w:t>ller</w:t>
      </w:r>
      <w:r w:rsidR="000B1101">
        <w:rPr>
          <w:sz w:val="24"/>
          <w:szCs w:val="24"/>
        </w:rPr>
        <w:t>, Hart</w:t>
      </w:r>
      <w:r w:rsidR="001A7BB2">
        <w:rPr>
          <w:sz w:val="24"/>
          <w:szCs w:val="24"/>
        </w:rPr>
        <w:t>-</w:t>
      </w:r>
      <w:r w:rsidR="000B1101">
        <w:rPr>
          <w:sz w:val="24"/>
          <w:szCs w:val="24"/>
        </w:rPr>
        <w:t>Dworkin,</w:t>
      </w:r>
      <w:r w:rsidR="000470A1">
        <w:rPr>
          <w:sz w:val="24"/>
          <w:szCs w:val="24"/>
        </w:rPr>
        <w:t xml:space="preserve"> or even Hart-Devlin debate, or one more go-round on the finer points</w:t>
      </w:r>
      <w:r w:rsidR="000B1101">
        <w:rPr>
          <w:sz w:val="24"/>
          <w:szCs w:val="24"/>
        </w:rPr>
        <w:t xml:space="preserve"> and epicycles</w:t>
      </w:r>
      <w:r w:rsidR="000470A1">
        <w:rPr>
          <w:sz w:val="24"/>
          <w:szCs w:val="24"/>
        </w:rPr>
        <w:t xml:space="preserve"> of the disagreement between inclusive legal positivism and exclusive legal positivism.</w:t>
      </w:r>
      <w:r w:rsidR="00960E34">
        <w:rPr>
          <w:rStyle w:val="FootnoteReference"/>
          <w:sz w:val="24"/>
          <w:szCs w:val="24"/>
        </w:rPr>
        <w:footnoteReference w:id="4"/>
      </w:r>
      <w:r w:rsidR="000470A1">
        <w:rPr>
          <w:sz w:val="24"/>
          <w:szCs w:val="24"/>
        </w:rPr>
        <w:t xml:space="preserve"> </w:t>
      </w:r>
    </w:p>
    <w:p w:rsidR="000470A1" w:rsidRDefault="000470A1">
      <w:pPr>
        <w:rPr>
          <w:sz w:val="24"/>
          <w:szCs w:val="24"/>
        </w:rPr>
      </w:pPr>
      <w:r>
        <w:rPr>
          <w:sz w:val="24"/>
          <w:szCs w:val="24"/>
        </w:rPr>
        <w:tab/>
        <w:t>We are at a different place, I believe, in thinking about law and morality.  There are insightful theorists suggesting that we rethink in radical ways the relationship between law and morality, and those re</w:t>
      </w:r>
      <w:r w:rsidR="00AD084F">
        <w:rPr>
          <w:sz w:val="24"/>
          <w:szCs w:val="24"/>
        </w:rPr>
        <w:t>-</w:t>
      </w:r>
      <w:r>
        <w:rPr>
          <w:sz w:val="24"/>
          <w:szCs w:val="24"/>
        </w:rPr>
        <w:t>thinkings raise the sort of issues that merge well with the theme of this gathering:  human rights</w:t>
      </w:r>
      <w:r w:rsidR="00AD084F">
        <w:rPr>
          <w:sz w:val="24"/>
          <w:szCs w:val="24"/>
        </w:rPr>
        <w:t xml:space="preserve"> and peace – especially the human rights part of </w:t>
      </w:r>
      <w:r w:rsidR="002576EE">
        <w:rPr>
          <w:sz w:val="24"/>
          <w:szCs w:val="24"/>
        </w:rPr>
        <w:t xml:space="preserve">that </w:t>
      </w:r>
      <w:r w:rsidR="00AD084F">
        <w:rPr>
          <w:sz w:val="24"/>
          <w:szCs w:val="24"/>
        </w:rPr>
        <w:t>equation</w:t>
      </w:r>
      <w:r>
        <w:rPr>
          <w:sz w:val="24"/>
          <w:szCs w:val="24"/>
        </w:rPr>
        <w:t xml:space="preserve">.  </w:t>
      </w:r>
    </w:p>
    <w:p w:rsidR="00AB239D" w:rsidRDefault="00D125DC">
      <w:pPr>
        <w:rPr>
          <w:sz w:val="24"/>
          <w:szCs w:val="24"/>
        </w:rPr>
      </w:pPr>
      <w:r>
        <w:rPr>
          <w:sz w:val="24"/>
          <w:szCs w:val="24"/>
        </w:rPr>
        <w:tab/>
        <w:t>Human rights – known in earlier times as “natural rights” – are moral rights all people have just by their status as human beings.</w:t>
      </w:r>
      <w:r>
        <w:rPr>
          <w:rStyle w:val="FootnoteReference"/>
          <w:sz w:val="24"/>
          <w:szCs w:val="24"/>
        </w:rPr>
        <w:footnoteReference w:id="5"/>
      </w:r>
      <w:r>
        <w:rPr>
          <w:sz w:val="24"/>
          <w:szCs w:val="24"/>
        </w:rPr>
        <w:t xml:space="preserve">  What rights belong in this category is a matter of ongoing debate.  Indeed, how these rights are generated or justified remain matters of</w:t>
      </w:r>
      <w:r w:rsidR="002576EE">
        <w:rPr>
          <w:sz w:val="24"/>
          <w:szCs w:val="24"/>
        </w:rPr>
        <w:t xml:space="preserve"> significant disagreement</w:t>
      </w:r>
      <w:r>
        <w:rPr>
          <w:sz w:val="24"/>
          <w:szCs w:val="24"/>
        </w:rPr>
        <w:t xml:space="preserve">.  What is clear is that many of these rights are rights citizens have against the state.  </w:t>
      </w:r>
    </w:p>
    <w:p w:rsidR="00F46A49" w:rsidRDefault="00F46A49">
      <w:pPr>
        <w:rPr>
          <w:sz w:val="24"/>
          <w:szCs w:val="24"/>
        </w:rPr>
      </w:pPr>
      <w:r>
        <w:rPr>
          <w:sz w:val="24"/>
          <w:szCs w:val="24"/>
        </w:rPr>
        <w:tab/>
        <w:t xml:space="preserve">The relationship of human rights and legal rights is intricate because of uncertainties throughout the analysis.  First, there is no consensus </w:t>
      </w:r>
      <w:r w:rsidR="002576EE">
        <w:rPr>
          <w:sz w:val="24"/>
          <w:szCs w:val="24"/>
        </w:rPr>
        <w:t xml:space="preserve">as to what human rights we have – if any – and whether human rights are best understood as grounded </w:t>
      </w:r>
      <w:r w:rsidR="00244703">
        <w:rPr>
          <w:sz w:val="24"/>
          <w:szCs w:val="24"/>
        </w:rPr>
        <w:t>philosophically or politically</w:t>
      </w:r>
      <w:r>
        <w:rPr>
          <w:sz w:val="24"/>
          <w:szCs w:val="24"/>
        </w:rPr>
        <w:t>.</w:t>
      </w:r>
      <w:r w:rsidR="00244703">
        <w:rPr>
          <w:rStyle w:val="FootnoteReference"/>
          <w:sz w:val="24"/>
          <w:szCs w:val="24"/>
        </w:rPr>
        <w:footnoteReference w:id="6"/>
      </w:r>
      <w:r>
        <w:rPr>
          <w:sz w:val="24"/>
          <w:szCs w:val="24"/>
        </w:rPr>
        <w:t xml:space="preserve">  </w:t>
      </w:r>
      <w:r w:rsidR="006D5D25">
        <w:rPr>
          <w:sz w:val="24"/>
          <w:szCs w:val="24"/>
        </w:rPr>
        <w:t xml:space="preserve">Some see them as moral rights against the state that have objective status regardless of the extent of their recognition and respect in legal and political practice.  Others see them as practices and beliefs grounded in the actions of particular communities at particular times.  </w:t>
      </w:r>
      <w:r>
        <w:rPr>
          <w:sz w:val="24"/>
          <w:szCs w:val="24"/>
        </w:rPr>
        <w:t>Second, there are various ways in which countries recognize and enforce some human rights:  through the country’s own constitution; through its obligations under regional law, like the European Conv</w:t>
      </w:r>
      <w:r w:rsidR="009E31D0">
        <w:rPr>
          <w:sz w:val="24"/>
          <w:szCs w:val="24"/>
        </w:rPr>
        <w:t xml:space="preserve">ention on Human Rights; and through signing international </w:t>
      </w:r>
      <w:r w:rsidR="006D5D25">
        <w:rPr>
          <w:sz w:val="24"/>
          <w:szCs w:val="24"/>
        </w:rPr>
        <w:t>conventions a</w:t>
      </w:r>
      <w:r w:rsidR="009E31D0">
        <w:rPr>
          <w:sz w:val="24"/>
          <w:szCs w:val="24"/>
        </w:rPr>
        <w:t>nd treaties.</w:t>
      </w:r>
    </w:p>
    <w:p w:rsidR="00AD084F" w:rsidRDefault="003103FE">
      <w:pPr>
        <w:rPr>
          <w:sz w:val="24"/>
          <w:szCs w:val="24"/>
        </w:rPr>
      </w:pPr>
      <w:r>
        <w:rPr>
          <w:sz w:val="24"/>
          <w:szCs w:val="24"/>
        </w:rPr>
        <w:tab/>
        <w:t>On the other hand, there are indications that government protection of certain kinds of procedural and substantive rights causes</w:t>
      </w:r>
      <w:r w:rsidR="00620465">
        <w:rPr>
          <w:sz w:val="24"/>
          <w:szCs w:val="24"/>
        </w:rPr>
        <w:t xml:space="preserve"> or at least correlates with</w:t>
      </w:r>
      <w:r>
        <w:rPr>
          <w:sz w:val="24"/>
          <w:szCs w:val="24"/>
        </w:rPr>
        <w:t xml:space="preserve"> peace and prosperity.</w:t>
      </w:r>
      <w:r w:rsidR="002B02E2">
        <w:rPr>
          <w:rStyle w:val="FootnoteReference"/>
          <w:sz w:val="24"/>
          <w:szCs w:val="24"/>
        </w:rPr>
        <w:footnoteReference w:id="7"/>
      </w:r>
      <w:r>
        <w:rPr>
          <w:sz w:val="24"/>
          <w:szCs w:val="24"/>
        </w:rPr>
        <w:t xml:space="preserve">  Though such claims inevitably require greater nuance</w:t>
      </w:r>
      <w:r w:rsidR="00620465">
        <w:rPr>
          <w:sz w:val="24"/>
          <w:szCs w:val="24"/>
        </w:rPr>
        <w:t xml:space="preserve"> than the simple assertion offers,</w:t>
      </w:r>
      <w:r>
        <w:rPr>
          <w:sz w:val="24"/>
          <w:szCs w:val="24"/>
        </w:rPr>
        <w:t xml:space="preserve"> and are</w:t>
      </w:r>
      <w:r w:rsidR="00620465">
        <w:rPr>
          <w:sz w:val="24"/>
          <w:szCs w:val="24"/>
        </w:rPr>
        <w:t>, of course, in any event,</w:t>
      </w:r>
      <w:r>
        <w:rPr>
          <w:sz w:val="24"/>
          <w:szCs w:val="24"/>
        </w:rPr>
        <w:t xml:space="preserve"> controversial, </w:t>
      </w:r>
      <w:r w:rsidR="000D72DC">
        <w:rPr>
          <w:sz w:val="24"/>
          <w:szCs w:val="24"/>
        </w:rPr>
        <w:t>th</w:t>
      </w:r>
      <w:r w:rsidR="00AD084F">
        <w:rPr>
          <w:sz w:val="24"/>
          <w:szCs w:val="24"/>
        </w:rPr>
        <w:t>e</w:t>
      </w:r>
      <w:r w:rsidR="00620465">
        <w:rPr>
          <w:sz w:val="24"/>
          <w:szCs w:val="24"/>
        </w:rPr>
        <w:t xml:space="preserve"> supporting</w:t>
      </w:r>
      <w:r w:rsidR="00AD084F">
        <w:rPr>
          <w:sz w:val="24"/>
          <w:szCs w:val="24"/>
        </w:rPr>
        <w:t xml:space="preserve"> evidence remains provocative.</w:t>
      </w:r>
    </w:p>
    <w:p w:rsidR="00AD084F" w:rsidRDefault="00AD084F">
      <w:pPr>
        <w:rPr>
          <w:sz w:val="24"/>
          <w:szCs w:val="24"/>
        </w:rPr>
      </w:pPr>
      <w:r>
        <w:rPr>
          <w:sz w:val="24"/>
          <w:szCs w:val="24"/>
        </w:rPr>
        <w:tab/>
        <w:t>Amartya Sen famously argued that famines do not occur in democracies – countries that protect fundamental rights regarding representation, political participation, and voting.</w:t>
      </w:r>
      <w:r>
        <w:rPr>
          <w:rStyle w:val="FootnoteReference"/>
          <w:sz w:val="24"/>
          <w:szCs w:val="24"/>
        </w:rPr>
        <w:footnoteReference w:id="8"/>
      </w:r>
      <w:r w:rsidR="000D72DC">
        <w:rPr>
          <w:sz w:val="24"/>
          <w:szCs w:val="24"/>
        </w:rPr>
        <w:t xml:space="preserve"> </w:t>
      </w:r>
      <w:r>
        <w:rPr>
          <w:sz w:val="24"/>
          <w:szCs w:val="24"/>
        </w:rPr>
        <w:t xml:space="preserve"> </w:t>
      </w:r>
      <w:r w:rsidR="009061C4">
        <w:rPr>
          <w:sz w:val="24"/>
          <w:szCs w:val="24"/>
        </w:rPr>
        <w:t>He wrote:  “It is certainly true that there has never been a famine in a functioning multiparty democracy.”</w:t>
      </w:r>
      <w:r w:rsidR="009061C4">
        <w:rPr>
          <w:rStyle w:val="FootnoteReference"/>
          <w:sz w:val="24"/>
          <w:szCs w:val="24"/>
        </w:rPr>
        <w:footnoteReference w:id="9"/>
      </w:r>
      <w:r w:rsidR="009061C4">
        <w:rPr>
          <w:sz w:val="24"/>
          <w:szCs w:val="24"/>
        </w:rPr>
        <w:t xml:space="preserve">  </w:t>
      </w:r>
      <w:r>
        <w:rPr>
          <w:sz w:val="24"/>
          <w:szCs w:val="24"/>
        </w:rPr>
        <w:t>Sen speculate</w:t>
      </w:r>
      <w:r w:rsidR="009061C4">
        <w:rPr>
          <w:sz w:val="24"/>
          <w:szCs w:val="24"/>
        </w:rPr>
        <w:t>d</w:t>
      </w:r>
      <w:r>
        <w:rPr>
          <w:sz w:val="24"/>
          <w:szCs w:val="24"/>
        </w:rPr>
        <w:t xml:space="preserve"> that a free press helps to avoid starvation by focusing on food shortages, and putting pressures on governments to do something to respond to those shortages</w:t>
      </w:r>
      <w:r w:rsidR="003F4AEF">
        <w:rPr>
          <w:sz w:val="24"/>
          <w:szCs w:val="24"/>
        </w:rPr>
        <w:t>; and that governments that need to face re-election would have greater incentive to avoid food crises</w:t>
      </w:r>
      <w:r>
        <w:rPr>
          <w:sz w:val="24"/>
          <w:szCs w:val="24"/>
        </w:rPr>
        <w:t>.</w:t>
      </w:r>
      <w:r w:rsidR="009061C4">
        <w:rPr>
          <w:rStyle w:val="FootnoteReference"/>
          <w:sz w:val="24"/>
          <w:szCs w:val="24"/>
        </w:rPr>
        <w:footnoteReference w:id="10"/>
      </w:r>
      <w:r>
        <w:rPr>
          <w:sz w:val="24"/>
          <w:szCs w:val="24"/>
        </w:rPr>
        <w:t xml:space="preserve"> </w:t>
      </w:r>
      <w:r w:rsidR="002F40D0">
        <w:rPr>
          <w:sz w:val="24"/>
          <w:szCs w:val="24"/>
        </w:rPr>
        <w:t xml:space="preserve"> It has similarly been asserted that democratic governments – governments that protect that group of civil and human rights – do not go to war with other democracies.</w:t>
      </w:r>
      <w:r w:rsidR="002F40D0">
        <w:rPr>
          <w:rStyle w:val="FootnoteReference"/>
          <w:sz w:val="24"/>
          <w:szCs w:val="24"/>
        </w:rPr>
        <w:footnoteReference w:id="11"/>
      </w:r>
      <w:r w:rsidR="000833BD">
        <w:rPr>
          <w:sz w:val="24"/>
          <w:szCs w:val="24"/>
        </w:rPr>
        <w:t xml:space="preserve">  </w:t>
      </w:r>
      <w:r w:rsidR="00DF2C75">
        <w:rPr>
          <w:sz w:val="24"/>
          <w:szCs w:val="24"/>
        </w:rPr>
        <w:t>This idea, which is often attributed to contemporary scholars and commentators, goes back at least to Immanuel Kant’s observations in his work, “Perpetual Peace.”</w:t>
      </w:r>
      <w:r w:rsidR="00DF2C75">
        <w:rPr>
          <w:rStyle w:val="FootnoteReference"/>
          <w:sz w:val="24"/>
          <w:szCs w:val="24"/>
        </w:rPr>
        <w:footnoteReference w:id="12"/>
      </w:r>
      <w:r w:rsidR="00DF2C75">
        <w:rPr>
          <w:sz w:val="24"/>
          <w:szCs w:val="24"/>
        </w:rPr>
        <w:t xml:space="preserve"> </w:t>
      </w:r>
      <w:r w:rsidR="000833BD">
        <w:rPr>
          <w:sz w:val="24"/>
          <w:szCs w:val="24"/>
        </w:rPr>
        <w:t>Though both of these claims are controversial, and likely overstated to some extent, they reflect what appear to be significant benefits to the recognition and protection of at least certain categories of human rights (without in any way precluding that other human rights may secure</w:t>
      </w:r>
      <w:r w:rsidR="001A739B">
        <w:rPr>
          <w:sz w:val="24"/>
          <w:szCs w:val="24"/>
        </w:rPr>
        <w:t xml:space="preserve"> many</w:t>
      </w:r>
      <w:r w:rsidR="000833BD">
        <w:rPr>
          <w:sz w:val="24"/>
          <w:szCs w:val="24"/>
        </w:rPr>
        <w:t xml:space="preserve"> other important benefits).</w:t>
      </w:r>
    </w:p>
    <w:p w:rsidR="001A739B" w:rsidRDefault="001A739B">
      <w:pPr>
        <w:rPr>
          <w:sz w:val="24"/>
          <w:szCs w:val="24"/>
        </w:rPr>
      </w:pPr>
      <w:r>
        <w:rPr>
          <w:sz w:val="24"/>
          <w:szCs w:val="24"/>
        </w:rPr>
        <w:tab/>
        <w:t xml:space="preserve">It is worth pausing, however, to consider the role or status of human rights within legal systems. </w:t>
      </w:r>
    </w:p>
    <w:p w:rsidR="00AD084F" w:rsidRDefault="00AD084F">
      <w:pPr>
        <w:rPr>
          <w:sz w:val="24"/>
          <w:szCs w:val="24"/>
        </w:rPr>
      </w:pPr>
    </w:p>
    <w:p w:rsidR="009E31D0" w:rsidRPr="00A74BEB" w:rsidRDefault="009E31D0">
      <w:pPr>
        <w:rPr>
          <w:i/>
          <w:sz w:val="24"/>
          <w:szCs w:val="24"/>
        </w:rPr>
      </w:pPr>
      <w:r w:rsidRPr="00A74BEB">
        <w:rPr>
          <w:i/>
          <w:sz w:val="24"/>
          <w:szCs w:val="24"/>
        </w:rPr>
        <w:t xml:space="preserve">II.  </w:t>
      </w:r>
      <w:r w:rsidR="00A74BEB" w:rsidRPr="00A74BEB">
        <w:rPr>
          <w:i/>
          <w:sz w:val="24"/>
          <w:szCs w:val="24"/>
        </w:rPr>
        <w:t xml:space="preserve">The </w:t>
      </w:r>
      <w:r w:rsidRPr="00A74BEB">
        <w:rPr>
          <w:i/>
          <w:sz w:val="24"/>
          <w:szCs w:val="24"/>
        </w:rPr>
        <w:t xml:space="preserve">Status </w:t>
      </w:r>
      <w:r w:rsidR="00A74BEB" w:rsidRPr="00A74BEB">
        <w:rPr>
          <w:i/>
          <w:sz w:val="24"/>
          <w:szCs w:val="24"/>
        </w:rPr>
        <w:t xml:space="preserve">of Human Rights </w:t>
      </w:r>
      <w:r w:rsidRPr="00A74BEB">
        <w:rPr>
          <w:i/>
          <w:sz w:val="24"/>
          <w:szCs w:val="24"/>
        </w:rPr>
        <w:t>as Law</w:t>
      </w:r>
    </w:p>
    <w:p w:rsidR="004A7477" w:rsidRDefault="004D0333">
      <w:pPr>
        <w:rPr>
          <w:sz w:val="24"/>
          <w:szCs w:val="24"/>
        </w:rPr>
      </w:pPr>
      <w:r>
        <w:rPr>
          <w:sz w:val="24"/>
          <w:szCs w:val="24"/>
        </w:rPr>
        <w:tab/>
        <w:t>While many countries have affirmed human rights in some form, there are, even in those countries, gaps and discontinuities.  As Ronald Dworkin pointed out in speaking about the United States,</w:t>
      </w:r>
      <w:r>
        <w:rPr>
          <w:rStyle w:val="FootnoteReference"/>
          <w:sz w:val="24"/>
          <w:szCs w:val="24"/>
        </w:rPr>
        <w:footnoteReference w:id="13"/>
      </w:r>
      <w:r>
        <w:rPr>
          <w:sz w:val="24"/>
          <w:szCs w:val="24"/>
        </w:rPr>
        <w:t xml:space="preserve"> the country’s constitution purports to protect many of the rights individuals hold against the State, but it does not recognize all of them</w:t>
      </w:r>
      <w:r w:rsidR="008B0741">
        <w:rPr>
          <w:sz w:val="24"/>
          <w:szCs w:val="24"/>
        </w:rPr>
        <w:t xml:space="preserve"> (whatever one’s list of such rights might be)</w:t>
      </w:r>
      <w:r>
        <w:rPr>
          <w:sz w:val="24"/>
          <w:szCs w:val="24"/>
        </w:rPr>
        <w:t>, and even those the document does recognize have been</w:t>
      </w:r>
      <w:r w:rsidR="008B0741">
        <w:rPr>
          <w:sz w:val="24"/>
          <w:szCs w:val="24"/>
        </w:rPr>
        <w:t xml:space="preserve"> protected</w:t>
      </w:r>
      <w:r>
        <w:rPr>
          <w:sz w:val="24"/>
          <w:szCs w:val="24"/>
        </w:rPr>
        <w:t xml:space="preserve"> imperfectly (at best) </w:t>
      </w:r>
      <w:r w:rsidR="008B0741">
        <w:rPr>
          <w:sz w:val="24"/>
          <w:szCs w:val="24"/>
        </w:rPr>
        <w:t>in the application of the constitutional provisions</w:t>
      </w:r>
      <w:r>
        <w:rPr>
          <w:sz w:val="24"/>
          <w:szCs w:val="24"/>
        </w:rPr>
        <w:t xml:space="preserve"> by courts and </w:t>
      </w:r>
      <w:r w:rsidR="008B0741">
        <w:rPr>
          <w:sz w:val="24"/>
          <w:szCs w:val="24"/>
        </w:rPr>
        <w:t xml:space="preserve">in </w:t>
      </w:r>
      <w:r>
        <w:rPr>
          <w:sz w:val="24"/>
          <w:szCs w:val="24"/>
        </w:rPr>
        <w:t xml:space="preserve">the actions of other legal officials.  </w:t>
      </w:r>
      <w:r w:rsidR="008B0741">
        <w:rPr>
          <w:sz w:val="24"/>
          <w:szCs w:val="24"/>
        </w:rPr>
        <w:t xml:space="preserve"> Dworkin’s argument had been that if officials in fact “take rights seriously” – as they often claim to do – th</w:t>
      </w:r>
      <w:r w:rsidR="001A7BB2">
        <w:rPr>
          <w:sz w:val="24"/>
          <w:szCs w:val="24"/>
        </w:rPr>
        <w:t>at</w:t>
      </w:r>
      <w:r w:rsidR="008B0741">
        <w:rPr>
          <w:sz w:val="24"/>
          <w:szCs w:val="24"/>
        </w:rPr>
        <w:t xml:space="preserve"> this </w:t>
      </w:r>
      <w:r w:rsidR="001A7BB2">
        <w:rPr>
          <w:sz w:val="24"/>
          <w:szCs w:val="24"/>
        </w:rPr>
        <w:t>may require</w:t>
      </w:r>
      <w:r w:rsidR="008B0741">
        <w:rPr>
          <w:sz w:val="24"/>
          <w:szCs w:val="24"/>
        </w:rPr>
        <w:t xml:space="preserve"> the officials </w:t>
      </w:r>
      <w:r w:rsidR="001A7BB2">
        <w:rPr>
          <w:sz w:val="24"/>
          <w:szCs w:val="24"/>
        </w:rPr>
        <w:t xml:space="preserve">to </w:t>
      </w:r>
      <w:r w:rsidR="008B0741">
        <w:rPr>
          <w:sz w:val="24"/>
          <w:szCs w:val="24"/>
        </w:rPr>
        <w:t>act in way</w:t>
      </w:r>
      <w:r w:rsidR="001A7BB2">
        <w:rPr>
          <w:sz w:val="24"/>
          <w:szCs w:val="24"/>
        </w:rPr>
        <w:t>s</w:t>
      </w:r>
      <w:r w:rsidR="008B0741">
        <w:rPr>
          <w:sz w:val="24"/>
          <w:szCs w:val="24"/>
        </w:rPr>
        <w:t xml:space="preserve"> that go beyond </w:t>
      </w:r>
      <w:r w:rsidR="001A7BB2">
        <w:rPr>
          <w:sz w:val="24"/>
          <w:szCs w:val="24"/>
        </w:rPr>
        <w:t>the law as declared by the country’s courts</w:t>
      </w:r>
      <w:r w:rsidR="008B0741">
        <w:rPr>
          <w:sz w:val="24"/>
          <w:szCs w:val="24"/>
        </w:rPr>
        <w:t xml:space="preserve">.  Dworkin’s particular topic was officials thinking long and hard before prosecuting those protesting laws through civil disobedience, but his argument obviously has implications for many other issues as well.  </w:t>
      </w:r>
      <w:r w:rsidR="006071E6">
        <w:rPr>
          <w:sz w:val="24"/>
          <w:szCs w:val="24"/>
        </w:rPr>
        <w:t xml:space="preserve"> </w:t>
      </w:r>
    </w:p>
    <w:p w:rsidR="004D0333" w:rsidRDefault="004A7477">
      <w:pPr>
        <w:rPr>
          <w:sz w:val="24"/>
          <w:szCs w:val="24"/>
        </w:rPr>
      </w:pPr>
      <w:r>
        <w:rPr>
          <w:sz w:val="24"/>
          <w:szCs w:val="24"/>
        </w:rPr>
        <w:tab/>
        <w:t xml:space="preserve">There is a connection with a different, famous (or notorious) historical debate.  After World War II, the victorious Allies tried </w:t>
      </w:r>
      <w:r w:rsidR="008437F4">
        <w:rPr>
          <w:sz w:val="24"/>
          <w:szCs w:val="24"/>
        </w:rPr>
        <w:t>various Nazi officials for violating “crimes against humanity” in trials held in Nuremberg.</w:t>
      </w:r>
      <w:r w:rsidR="000F0293">
        <w:rPr>
          <w:rStyle w:val="FootnoteReference"/>
          <w:sz w:val="24"/>
          <w:szCs w:val="24"/>
        </w:rPr>
        <w:footnoteReference w:id="14"/>
      </w:r>
      <w:r w:rsidR="008437F4">
        <w:rPr>
          <w:sz w:val="24"/>
          <w:szCs w:val="24"/>
        </w:rPr>
        <w:t xml:space="preserve">  The defendants claimed that their actions were justified by the civil law of their country, but this defense was rejected.  </w:t>
      </w:r>
      <w:r w:rsidR="006D5D25">
        <w:rPr>
          <w:sz w:val="24"/>
          <w:szCs w:val="24"/>
        </w:rPr>
        <w:t>The basic understanding of the prosecuting countries at Nuremberg – and of many commentators since</w:t>
      </w:r>
      <w:r w:rsidR="00836FDF">
        <w:rPr>
          <w:sz w:val="24"/>
          <w:szCs w:val="24"/>
        </w:rPr>
        <w:t xml:space="preserve"> then</w:t>
      </w:r>
      <w:r w:rsidR="006D5D25">
        <w:rPr>
          <w:sz w:val="24"/>
          <w:szCs w:val="24"/>
        </w:rPr>
        <w:t xml:space="preserve"> – is that there are certain actions which are contrary to law </w:t>
      </w:r>
      <w:r w:rsidR="00836FDF">
        <w:rPr>
          <w:sz w:val="24"/>
          <w:szCs w:val="24"/>
        </w:rPr>
        <w:t xml:space="preserve">– contrary to law, </w:t>
      </w:r>
      <w:r w:rsidR="006D5D25">
        <w:rPr>
          <w:sz w:val="24"/>
          <w:szCs w:val="24"/>
        </w:rPr>
        <w:t xml:space="preserve">at all times and places, and regardless of what the statutes and court decisions of a country might state.  </w:t>
      </w:r>
    </w:p>
    <w:p w:rsidR="00D937B2" w:rsidRDefault="00D937B2">
      <w:pPr>
        <w:rPr>
          <w:sz w:val="24"/>
          <w:szCs w:val="24"/>
        </w:rPr>
      </w:pPr>
      <w:r>
        <w:rPr>
          <w:sz w:val="24"/>
          <w:szCs w:val="24"/>
        </w:rPr>
        <w:tab/>
      </w:r>
      <w:r w:rsidR="00836FDF">
        <w:rPr>
          <w:sz w:val="24"/>
          <w:szCs w:val="24"/>
        </w:rPr>
        <w:t xml:space="preserve">However, one might ask:  </w:t>
      </w:r>
      <w:r w:rsidR="003962CF">
        <w:rPr>
          <w:sz w:val="24"/>
          <w:szCs w:val="24"/>
        </w:rPr>
        <w:t>d</w:t>
      </w:r>
      <w:r w:rsidR="006D5D25">
        <w:rPr>
          <w:sz w:val="24"/>
          <w:szCs w:val="24"/>
        </w:rPr>
        <w:t xml:space="preserve">oes this even make sense?  </w:t>
      </w:r>
      <w:r w:rsidR="00836FDF">
        <w:rPr>
          <w:sz w:val="24"/>
          <w:szCs w:val="24"/>
        </w:rPr>
        <w:t xml:space="preserve">Is it even sensible to claim </w:t>
      </w:r>
      <w:r>
        <w:rPr>
          <w:sz w:val="24"/>
          <w:szCs w:val="24"/>
        </w:rPr>
        <w:t xml:space="preserve">that certain foundational moral norms are part of the law, </w:t>
      </w:r>
      <w:r w:rsidR="003962CF">
        <w:rPr>
          <w:sz w:val="24"/>
          <w:szCs w:val="24"/>
        </w:rPr>
        <w:t>even if never</w:t>
      </w:r>
      <w:r>
        <w:rPr>
          <w:sz w:val="24"/>
          <w:szCs w:val="24"/>
        </w:rPr>
        <w:t xml:space="preserve"> officially promulgated, </w:t>
      </w:r>
      <w:r w:rsidR="003962CF">
        <w:rPr>
          <w:sz w:val="24"/>
          <w:szCs w:val="24"/>
        </w:rPr>
        <w:t xml:space="preserve">even if never </w:t>
      </w:r>
      <w:r>
        <w:rPr>
          <w:sz w:val="24"/>
          <w:szCs w:val="24"/>
        </w:rPr>
        <w:t>officiall</w:t>
      </w:r>
      <w:r w:rsidR="003962CF">
        <w:rPr>
          <w:sz w:val="24"/>
          <w:szCs w:val="24"/>
        </w:rPr>
        <w:t>y recognized by legal officials, and</w:t>
      </w:r>
      <w:r>
        <w:rPr>
          <w:sz w:val="24"/>
          <w:szCs w:val="24"/>
        </w:rPr>
        <w:t xml:space="preserve"> even if positive law seems to be to the contrary</w:t>
      </w:r>
      <w:r w:rsidR="003962CF">
        <w:rPr>
          <w:sz w:val="24"/>
          <w:szCs w:val="24"/>
        </w:rPr>
        <w:t>?</w:t>
      </w:r>
      <w:r>
        <w:rPr>
          <w:sz w:val="24"/>
          <w:szCs w:val="24"/>
        </w:rPr>
        <w:t xml:space="preserve">  One modern natural law theorist, John Finnis, argues that this is </w:t>
      </w:r>
      <w:r w:rsidR="006D5D25">
        <w:rPr>
          <w:sz w:val="24"/>
          <w:szCs w:val="24"/>
        </w:rPr>
        <w:t xml:space="preserve">in fact </w:t>
      </w:r>
      <w:r>
        <w:rPr>
          <w:sz w:val="24"/>
          <w:szCs w:val="24"/>
        </w:rPr>
        <w:t xml:space="preserve">the case.  In relation to the Nuremberg Trials, he </w:t>
      </w:r>
      <w:r w:rsidR="006D5D25">
        <w:rPr>
          <w:sz w:val="24"/>
          <w:szCs w:val="24"/>
        </w:rPr>
        <w:t>asserted</w:t>
      </w:r>
      <w:r>
        <w:rPr>
          <w:sz w:val="24"/>
          <w:szCs w:val="24"/>
        </w:rPr>
        <w:t xml:space="preserve">:  </w:t>
      </w:r>
    </w:p>
    <w:p w:rsidR="00D937B2" w:rsidRDefault="00D937B2" w:rsidP="00D937B2">
      <w:pPr>
        <w:ind w:firstLine="720"/>
        <w:rPr>
          <w:sz w:val="24"/>
          <w:szCs w:val="24"/>
        </w:rPr>
      </w:pPr>
      <w:r>
        <w:rPr>
          <w:sz w:val="24"/>
          <w:szCs w:val="24"/>
        </w:rPr>
        <w:t xml:space="preserve"> “[T]</w:t>
      </w:r>
      <w:r w:rsidRPr="00D937B2">
        <w:rPr>
          <w:sz w:val="24"/>
          <w:szCs w:val="24"/>
        </w:rPr>
        <w:t xml:space="preserve">he moral rules applied were </w:t>
      </w:r>
      <w:r>
        <w:rPr>
          <w:sz w:val="24"/>
          <w:szCs w:val="24"/>
        </w:rPr>
        <w:t>…</w:t>
      </w:r>
      <w:r w:rsidRPr="00D937B2">
        <w:rPr>
          <w:sz w:val="24"/>
          <w:szCs w:val="24"/>
        </w:rPr>
        <w:t xml:space="preserve"> rules of the “higher law” applicable in all times and </w:t>
      </w:r>
    </w:p>
    <w:p w:rsidR="00D937B2" w:rsidRDefault="00D937B2" w:rsidP="00D937B2">
      <w:pPr>
        <w:ind w:firstLine="720"/>
        <w:rPr>
          <w:sz w:val="24"/>
          <w:szCs w:val="24"/>
        </w:rPr>
      </w:pPr>
      <w:r w:rsidRPr="00D937B2">
        <w:rPr>
          <w:sz w:val="24"/>
          <w:szCs w:val="24"/>
        </w:rPr>
        <w:t>places</w:t>
      </w:r>
      <w:r>
        <w:rPr>
          <w:sz w:val="24"/>
          <w:szCs w:val="24"/>
        </w:rPr>
        <w:t xml:space="preserve"> …</w:t>
      </w:r>
      <w:r w:rsidRPr="00D937B2">
        <w:rPr>
          <w:sz w:val="24"/>
          <w:szCs w:val="24"/>
        </w:rPr>
        <w:t xml:space="preserve"> as a source of argumentation and judgment “according to law” when the </w:t>
      </w:r>
    </w:p>
    <w:p w:rsidR="0033143F" w:rsidRDefault="00D937B2" w:rsidP="00D937B2">
      <w:pPr>
        <w:ind w:left="720"/>
        <w:rPr>
          <w:sz w:val="24"/>
          <w:szCs w:val="24"/>
        </w:rPr>
      </w:pPr>
      <w:r w:rsidRPr="00D937B2">
        <w:rPr>
          <w:sz w:val="24"/>
          <w:szCs w:val="24"/>
        </w:rPr>
        <w:t>social-fact sources which are the normally dominant and quasi-exclusive source of law are, in justice, inadequate and insufficient guides to fulfilling obligations such as the judicial obligation to do justice according to law, or everyone's obligation to behave with elementary humanity even when under orders not to—even if those orders have intra-systemic legal validity according to the formal or social-fact criteria of some existing legal system.</w:t>
      </w:r>
      <w:r w:rsidR="001A7BB2">
        <w:rPr>
          <w:sz w:val="24"/>
          <w:szCs w:val="24"/>
        </w:rPr>
        <w:t>”</w:t>
      </w:r>
      <w:r w:rsidR="008437F4">
        <w:rPr>
          <w:rStyle w:val="FootnoteReference"/>
          <w:sz w:val="24"/>
          <w:szCs w:val="24"/>
        </w:rPr>
        <w:footnoteReference w:id="15"/>
      </w:r>
    </w:p>
    <w:p w:rsidR="0033143F" w:rsidRDefault="0033143F" w:rsidP="0033143F">
      <w:pPr>
        <w:rPr>
          <w:sz w:val="24"/>
          <w:szCs w:val="24"/>
        </w:rPr>
      </w:pPr>
      <w:r>
        <w:rPr>
          <w:sz w:val="24"/>
          <w:szCs w:val="24"/>
        </w:rPr>
        <w:t>Finnis’s argument</w:t>
      </w:r>
      <w:r w:rsidR="003962CF">
        <w:rPr>
          <w:sz w:val="24"/>
          <w:szCs w:val="24"/>
        </w:rPr>
        <w:t>, or something like it, has been</w:t>
      </w:r>
      <w:r>
        <w:rPr>
          <w:sz w:val="24"/>
          <w:szCs w:val="24"/>
        </w:rPr>
        <w:t xml:space="preserve"> accepted by many who defend the process and the outcome of the Nuremberg Trials, and </w:t>
      </w:r>
      <w:r w:rsidR="003962CF">
        <w:rPr>
          <w:sz w:val="24"/>
          <w:szCs w:val="24"/>
        </w:rPr>
        <w:t xml:space="preserve">the </w:t>
      </w:r>
      <w:r>
        <w:rPr>
          <w:sz w:val="24"/>
          <w:szCs w:val="24"/>
        </w:rPr>
        <w:t xml:space="preserve">comparable war crimes tribunals </w:t>
      </w:r>
      <w:r w:rsidR="003962CF">
        <w:rPr>
          <w:sz w:val="24"/>
          <w:szCs w:val="24"/>
        </w:rPr>
        <w:t xml:space="preserve">that have been set up </w:t>
      </w:r>
      <w:r>
        <w:rPr>
          <w:sz w:val="24"/>
          <w:szCs w:val="24"/>
        </w:rPr>
        <w:t>to the present day</w:t>
      </w:r>
      <w:r w:rsidR="003962CF">
        <w:rPr>
          <w:sz w:val="24"/>
          <w:szCs w:val="24"/>
        </w:rPr>
        <w:t>.  The general argument</w:t>
      </w:r>
      <w:r>
        <w:rPr>
          <w:sz w:val="24"/>
          <w:szCs w:val="24"/>
        </w:rPr>
        <w:t xml:space="preserve"> is that there are aspects of “justice according to law” that do not depend on </w:t>
      </w:r>
      <w:r w:rsidR="003962CF">
        <w:rPr>
          <w:sz w:val="24"/>
          <w:szCs w:val="24"/>
        </w:rPr>
        <w:t>the norms’</w:t>
      </w:r>
      <w:r>
        <w:rPr>
          <w:sz w:val="24"/>
          <w:szCs w:val="24"/>
        </w:rPr>
        <w:t xml:space="preserve"> having been expressly promulgated by legal officials.  And</w:t>
      </w:r>
      <w:r w:rsidR="00922532">
        <w:rPr>
          <w:sz w:val="24"/>
          <w:szCs w:val="24"/>
        </w:rPr>
        <w:t>,</w:t>
      </w:r>
      <w:r>
        <w:rPr>
          <w:sz w:val="24"/>
          <w:szCs w:val="24"/>
        </w:rPr>
        <w:t xml:space="preserve"> more controversially, perhaps, is the further claim, that these norms are part of legal systems even where the express promulgations of the legal system purport to negate or override these elemental duties.  </w:t>
      </w:r>
    </w:p>
    <w:p w:rsidR="00DE1E46" w:rsidRDefault="00D62316">
      <w:pPr>
        <w:rPr>
          <w:sz w:val="24"/>
          <w:szCs w:val="24"/>
        </w:rPr>
      </w:pPr>
      <w:r>
        <w:rPr>
          <w:sz w:val="24"/>
          <w:szCs w:val="24"/>
        </w:rPr>
        <w:tab/>
        <w:t>As noted, this view is not accepted by everyone, but the controversy cannot detain us here.  It is a conversation</w:t>
      </w:r>
      <w:r w:rsidR="003962CF">
        <w:rPr>
          <w:sz w:val="24"/>
          <w:szCs w:val="24"/>
        </w:rPr>
        <w:t>, however important,</w:t>
      </w:r>
      <w:r>
        <w:rPr>
          <w:sz w:val="24"/>
          <w:szCs w:val="24"/>
        </w:rPr>
        <w:t xml:space="preserve"> for another time.  I want to shift the focus.  Granting, for this discussion</w:t>
      </w:r>
      <w:r w:rsidR="00DE1E46">
        <w:rPr>
          <w:sz w:val="24"/>
          <w:szCs w:val="24"/>
        </w:rPr>
        <w:t>, that certain foundational restraints on government have the status of legal norms, what does it mean to say this?</w:t>
      </w:r>
      <w:r w:rsidR="009818C5">
        <w:rPr>
          <w:sz w:val="24"/>
          <w:szCs w:val="24"/>
        </w:rPr>
        <w:t xml:space="preserve">  This seems to be</w:t>
      </w:r>
      <w:r w:rsidR="00DE1E46">
        <w:rPr>
          <w:sz w:val="24"/>
          <w:szCs w:val="24"/>
        </w:rPr>
        <w:t xml:space="preserve"> a simple and straight-forward question.  </w:t>
      </w:r>
      <w:r w:rsidR="007B62FF">
        <w:rPr>
          <w:sz w:val="24"/>
          <w:szCs w:val="24"/>
        </w:rPr>
        <w:t>It is perhaps o</w:t>
      </w:r>
      <w:r w:rsidR="00DE1E46">
        <w:rPr>
          <w:sz w:val="24"/>
          <w:szCs w:val="24"/>
        </w:rPr>
        <w:t xml:space="preserve">ne of those questions so simple, that only theorists and very young children would be likely to ask it.  </w:t>
      </w:r>
      <w:r w:rsidR="009818C5">
        <w:rPr>
          <w:sz w:val="24"/>
          <w:szCs w:val="24"/>
        </w:rPr>
        <w:t xml:space="preserve">Yet, like many such “simple questions,” any effort to formulate a response quickly discloses the hidden complexities of the </w:t>
      </w:r>
      <w:r w:rsidR="007B62FF">
        <w:rPr>
          <w:sz w:val="24"/>
          <w:szCs w:val="24"/>
        </w:rPr>
        <w:t>situation</w:t>
      </w:r>
      <w:r w:rsidR="009818C5">
        <w:rPr>
          <w:sz w:val="24"/>
          <w:szCs w:val="24"/>
        </w:rPr>
        <w:t xml:space="preserve">. </w:t>
      </w:r>
    </w:p>
    <w:p w:rsidR="00A10F54" w:rsidRDefault="00A10F54">
      <w:pPr>
        <w:rPr>
          <w:sz w:val="24"/>
          <w:szCs w:val="24"/>
        </w:rPr>
      </w:pPr>
      <w:r>
        <w:rPr>
          <w:sz w:val="24"/>
          <w:szCs w:val="24"/>
        </w:rPr>
        <w:tab/>
        <w:t>One might say that something is a law</w:t>
      </w:r>
      <w:r w:rsidR="00A06A9A">
        <w:rPr>
          <w:sz w:val="24"/>
          <w:szCs w:val="24"/>
        </w:rPr>
        <w:t>, is part of a legal system,</w:t>
      </w:r>
      <w:r>
        <w:rPr>
          <w:sz w:val="24"/>
          <w:szCs w:val="24"/>
        </w:rPr>
        <w:t xml:space="preserve"> if i</w:t>
      </w:r>
      <w:r w:rsidR="00484572">
        <w:rPr>
          <w:sz w:val="24"/>
          <w:szCs w:val="24"/>
        </w:rPr>
        <w:t>t is part of the collection or hiera</w:t>
      </w:r>
      <w:r w:rsidR="00960E34">
        <w:rPr>
          <w:sz w:val="24"/>
          <w:szCs w:val="24"/>
        </w:rPr>
        <w:t>r</w:t>
      </w:r>
      <w:r w:rsidR="00484572">
        <w:rPr>
          <w:sz w:val="24"/>
          <w:szCs w:val="24"/>
        </w:rPr>
        <w:t>chy</w:t>
      </w:r>
      <w:r>
        <w:rPr>
          <w:sz w:val="24"/>
          <w:szCs w:val="24"/>
        </w:rPr>
        <w:t xml:space="preserve"> of laws (</w:t>
      </w:r>
      <w:r w:rsidR="00A06A9A">
        <w:rPr>
          <w:sz w:val="24"/>
          <w:szCs w:val="24"/>
        </w:rPr>
        <w:t>legal rules, or, if one prefers, legal norms – the differences</w:t>
      </w:r>
      <w:r w:rsidR="00484572">
        <w:rPr>
          <w:sz w:val="24"/>
          <w:szCs w:val="24"/>
        </w:rPr>
        <w:t>, if any,</w:t>
      </w:r>
      <w:r w:rsidR="00A06A9A">
        <w:rPr>
          <w:sz w:val="24"/>
          <w:szCs w:val="24"/>
        </w:rPr>
        <w:t xml:space="preserve"> between rules and norms can be bracketed, for now</w:t>
      </w:r>
      <w:r>
        <w:rPr>
          <w:sz w:val="24"/>
          <w:szCs w:val="24"/>
        </w:rPr>
        <w:t xml:space="preserve">) that makes up a legal system.  </w:t>
      </w:r>
      <w:r w:rsidR="00A06A9A">
        <w:rPr>
          <w:sz w:val="24"/>
          <w:szCs w:val="24"/>
        </w:rPr>
        <w:t>This is almost certainly too rough, too imprecise.  Still, e</w:t>
      </w:r>
      <w:r>
        <w:rPr>
          <w:sz w:val="24"/>
          <w:szCs w:val="24"/>
        </w:rPr>
        <w:t xml:space="preserve">ven if </w:t>
      </w:r>
      <w:r w:rsidR="00A06A9A">
        <w:rPr>
          <w:sz w:val="24"/>
          <w:szCs w:val="24"/>
        </w:rPr>
        <w:t xml:space="preserve">that </w:t>
      </w:r>
      <w:r w:rsidR="004E5C93">
        <w:rPr>
          <w:sz w:val="24"/>
          <w:szCs w:val="24"/>
        </w:rPr>
        <w:t>analysis</w:t>
      </w:r>
      <w:r w:rsidR="00A06A9A">
        <w:rPr>
          <w:sz w:val="24"/>
          <w:szCs w:val="24"/>
        </w:rPr>
        <w:t xml:space="preserve"> were granted, we would</w:t>
      </w:r>
      <w:r>
        <w:rPr>
          <w:sz w:val="24"/>
          <w:szCs w:val="24"/>
        </w:rPr>
        <w:t xml:space="preserve"> not seem to have made much progress yet in terms of explanation.  </w:t>
      </w:r>
      <w:r w:rsidR="00A06A9A">
        <w:rPr>
          <w:sz w:val="24"/>
          <w:szCs w:val="24"/>
        </w:rPr>
        <w:t xml:space="preserve">To say that something is law, is a legal rule or legal norm, if it is part of a legal system, is just to postpone the ultimate explanation, to push it to a different level of abstraction.  </w:t>
      </w:r>
    </w:p>
    <w:p w:rsidR="00A10F54" w:rsidRDefault="00A10F54">
      <w:pPr>
        <w:rPr>
          <w:sz w:val="24"/>
          <w:szCs w:val="24"/>
        </w:rPr>
      </w:pPr>
      <w:r>
        <w:rPr>
          <w:sz w:val="24"/>
          <w:szCs w:val="24"/>
        </w:rPr>
        <w:tab/>
        <w:t>One might try, instead, or additionally, to say that a norm is part of a legal system if it adds to the powers, duties,</w:t>
      </w:r>
      <w:r w:rsidR="004E5C93">
        <w:rPr>
          <w:sz w:val="24"/>
          <w:szCs w:val="24"/>
        </w:rPr>
        <w:t xml:space="preserve"> or</w:t>
      </w:r>
      <w:r>
        <w:rPr>
          <w:sz w:val="24"/>
          <w:szCs w:val="24"/>
        </w:rPr>
        <w:t xml:space="preserve"> authorizations that apply to those living within the jurisdiction of that legal system.  </w:t>
      </w:r>
      <w:r w:rsidR="00CB6808">
        <w:rPr>
          <w:sz w:val="24"/>
          <w:szCs w:val="24"/>
        </w:rPr>
        <w:t xml:space="preserve">However, again, this just seems to take the same question and simply push it back one step. </w:t>
      </w:r>
      <w:r w:rsidR="004E5C93">
        <w:rPr>
          <w:sz w:val="24"/>
          <w:szCs w:val="24"/>
        </w:rPr>
        <w:t xml:space="preserve"> </w:t>
      </w:r>
    </w:p>
    <w:p w:rsidR="00085418" w:rsidRDefault="00085418">
      <w:pPr>
        <w:rPr>
          <w:sz w:val="24"/>
          <w:szCs w:val="24"/>
        </w:rPr>
      </w:pPr>
      <w:r>
        <w:rPr>
          <w:sz w:val="24"/>
          <w:szCs w:val="24"/>
        </w:rPr>
        <w:tab/>
      </w:r>
      <w:r w:rsidR="004E5C93">
        <w:rPr>
          <w:sz w:val="24"/>
          <w:szCs w:val="24"/>
        </w:rPr>
        <w:t>What often counts as explanation is the ability to restate a concept or practice in terms of an entirely different type of concept or practice.  As an example relevant to this discussion, t</w:t>
      </w:r>
      <w:r>
        <w:rPr>
          <w:sz w:val="24"/>
          <w:szCs w:val="24"/>
        </w:rPr>
        <w:t>he legal realists asserted that there is law when one would predict</w:t>
      </w:r>
      <w:r w:rsidR="004E5C93">
        <w:rPr>
          <w:sz w:val="24"/>
          <w:szCs w:val="24"/>
        </w:rPr>
        <w:t xml:space="preserve"> that</w:t>
      </w:r>
      <w:r>
        <w:rPr>
          <w:sz w:val="24"/>
          <w:szCs w:val="24"/>
        </w:rPr>
        <w:t xml:space="preserve"> a legal official</w:t>
      </w:r>
      <w:r w:rsidR="00922532">
        <w:rPr>
          <w:sz w:val="24"/>
          <w:szCs w:val="24"/>
        </w:rPr>
        <w:t xml:space="preserve"> would impose a sanction</w:t>
      </w:r>
      <w:r w:rsidR="004E5C93">
        <w:rPr>
          <w:rStyle w:val="FootnoteReference"/>
          <w:sz w:val="24"/>
          <w:szCs w:val="24"/>
        </w:rPr>
        <w:footnoteReference w:id="16"/>
      </w:r>
      <w:r>
        <w:rPr>
          <w:sz w:val="24"/>
          <w:szCs w:val="24"/>
        </w:rPr>
        <w:t xml:space="preserve"> – they usually spoke of judges, but we know that many important decisions made in the name of “law” are made by other officials, like police officers and administrative </w:t>
      </w:r>
      <w:r w:rsidR="00E96782">
        <w:rPr>
          <w:sz w:val="24"/>
          <w:szCs w:val="24"/>
        </w:rPr>
        <w:t>agency officials.</w:t>
      </w:r>
      <w:r w:rsidR="006333BC">
        <w:rPr>
          <w:sz w:val="24"/>
          <w:szCs w:val="24"/>
        </w:rPr>
        <w:t xml:space="preserve">  </w:t>
      </w:r>
      <w:r w:rsidR="00E01A4F">
        <w:rPr>
          <w:sz w:val="24"/>
          <w:szCs w:val="24"/>
        </w:rPr>
        <w:t xml:space="preserve">Even as modified, though, this “realist” view of law – useful to us in our more “worldly” or “cynical” moments – seems inadequate to capture how law feels to many participants, to those who, in the terms of H. L. A. Hart, “accept” the law, who take an “internal point of view” towards it.  </w:t>
      </w:r>
    </w:p>
    <w:p w:rsidR="006333BC" w:rsidRDefault="00D94B74">
      <w:pPr>
        <w:rPr>
          <w:sz w:val="24"/>
          <w:szCs w:val="24"/>
        </w:rPr>
      </w:pPr>
      <w:r>
        <w:rPr>
          <w:sz w:val="24"/>
          <w:szCs w:val="24"/>
        </w:rPr>
        <w:tab/>
        <w:t xml:space="preserve">The matter returns us to the question of the connection between law and morality, which will be touched upon in the next section.  </w:t>
      </w:r>
      <w:r w:rsidR="006333BC">
        <w:rPr>
          <w:sz w:val="24"/>
          <w:szCs w:val="24"/>
        </w:rPr>
        <w:t xml:space="preserve"> </w:t>
      </w:r>
    </w:p>
    <w:p w:rsidR="005634DD" w:rsidRDefault="005634DD">
      <w:pPr>
        <w:rPr>
          <w:sz w:val="24"/>
          <w:szCs w:val="24"/>
        </w:rPr>
      </w:pPr>
    </w:p>
    <w:p w:rsidR="004D0333" w:rsidRPr="00A74BEB" w:rsidRDefault="004D0333">
      <w:pPr>
        <w:rPr>
          <w:i/>
          <w:sz w:val="24"/>
          <w:szCs w:val="24"/>
        </w:rPr>
      </w:pPr>
      <w:r w:rsidRPr="00A74BEB">
        <w:rPr>
          <w:i/>
          <w:sz w:val="24"/>
          <w:szCs w:val="24"/>
        </w:rPr>
        <w:t>III.  Law and Morality</w:t>
      </w:r>
    </w:p>
    <w:p w:rsidR="00CB6808" w:rsidRDefault="005A6958">
      <w:pPr>
        <w:rPr>
          <w:sz w:val="24"/>
          <w:szCs w:val="24"/>
        </w:rPr>
      </w:pPr>
      <w:r>
        <w:rPr>
          <w:sz w:val="24"/>
          <w:szCs w:val="24"/>
        </w:rPr>
        <w:tab/>
        <w:t>As already mentioned, the connection, or separation, of law and morality is a common focus of jurisprudential debates.  Must a legal system meet a certain moral standard to warrant the title, “law”?  Do norms that fall below a certain moral standard lose their legal status?</w:t>
      </w:r>
      <w:r w:rsidR="00437D94">
        <w:rPr>
          <w:rStyle w:val="FootnoteReference"/>
          <w:sz w:val="24"/>
          <w:szCs w:val="24"/>
        </w:rPr>
        <w:footnoteReference w:id="17"/>
      </w:r>
      <w:r>
        <w:rPr>
          <w:sz w:val="24"/>
          <w:szCs w:val="24"/>
        </w:rPr>
        <w:t xml:space="preserve">  </w:t>
      </w:r>
      <w:r w:rsidR="00242DBE">
        <w:rPr>
          <w:sz w:val="24"/>
          <w:szCs w:val="24"/>
        </w:rPr>
        <w:t xml:space="preserve">In constructing theories of the nature of law, should we – </w:t>
      </w:r>
      <w:r w:rsidR="00437D94">
        <w:rPr>
          <w:sz w:val="24"/>
          <w:szCs w:val="24"/>
        </w:rPr>
        <w:t>indeed,</w:t>
      </w:r>
      <w:r w:rsidR="00242DBE">
        <w:rPr>
          <w:sz w:val="24"/>
          <w:szCs w:val="24"/>
        </w:rPr>
        <w:t xml:space="preserve"> must we – use moral-evaluative standards?  Is there a general </w:t>
      </w:r>
      <w:r w:rsidR="00242DBE">
        <w:rPr>
          <w:i/>
          <w:sz w:val="24"/>
          <w:szCs w:val="24"/>
        </w:rPr>
        <w:t xml:space="preserve">prima facie </w:t>
      </w:r>
      <w:r w:rsidR="00242DBE">
        <w:rPr>
          <w:sz w:val="24"/>
          <w:szCs w:val="24"/>
        </w:rPr>
        <w:t xml:space="preserve">obligation to obey the law, at least in generally just legal systems?  </w:t>
      </w:r>
      <w:r w:rsidR="00901C78">
        <w:rPr>
          <w:sz w:val="24"/>
          <w:szCs w:val="24"/>
        </w:rPr>
        <w:t xml:space="preserve">On the whole, I will be avoiding these clichéd questions, though I do not think that I will be able to escape them altogether.  </w:t>
      </w:r>
      <w:r w:rsidR="008440DB">
        <w:rPr>
          <w:sz w:val="24"/>
          <w:szCs w:val="24"/>
        </w:rPr>
        <w:t xml:space="preserve">In some ways, though, I will be asking questions that are even more basic. </w:t>
      </w:r>
    </w:p>
    <w:p w:rsidR="00D44394" w:rsidRDefault="00F83116">
      <w:pPr>
        <w:rPr>
          <w:sz w:val="24"/>
          <w:szCs w:val="24"/>
        </w:rPr>
      </w:pPr>
      <w:r>
        <w:rPr>
          <w:sz w:val="24"/>
          <w:szCs w:val="24"/>
        </w:rPr>
        <w:tab/>
        <w:t xml:space="preserve">The existence of legal system can be thought of in sociological and </w:t>
      </w:r>
      <w:r w:rsidRPr="00F83116">
        <w:rPr>
          <w:i/>
          <w:sz w:val="24"/>
          <w:szCs w:val="24"/>
        </w:rPr>
        <w:t>realpolitik</w:t>
      </w:r>
      <w:r>
        <w:rPr>
          <w:sz w:val="24"/>
          <w:szCs w:val="24"/>
        </w:rPr>
        <w:t xml:space="preserve"> terms:  is there a system of rules and institutions which is </w:t>
      </w:r>
      <w:r w:rsidR="00401715">
        <w:rPr>
          <w:sz w:val="24"/>
          <w:szCs w:val="24"/>
        </w:rPr>
        <w:t>generally efficacious in</w:t>
      </w:r>
      <w:r>
        <w:rPr>
          <w:sz w:val="24"/>
          <w:szCs w:val="24"/>
        </w:rPr>
        <w:t xml:space="preserve"> guiding and constraining behavior?  </w:t>
      </w:r>
      <w:r w:rsidR="00401715">
        <w:rPr>
          <w:sz w:val="24"/>
          <w:szCs w:val="24"/>
        </w:rPr>
        <w:t xml:space="preserve">If so, there is a sense in which one can speak about the existence of a legal system.  </w:t>
      </w:r>
      <w:r w:rsidR="00D34C55">
        <w:rPr>
          <w:sz w:val="24"/>
          <w:szCs w:val="24"/>
        </w:rPr>
        <w:t xml:space="preserve"> And one can continue in this vein in discussing when someone is </w:t>
      </w:r>
      <w:r w:rsidR="007E7B5C">
        <w:rPr>
          <w:sz w:val="24"/>
          <w:szCs w:val="24"/>
        </w:rPr>
        <w:t>bound by the norms of</w:t>
      </w:r>
      <w:r w:rsidR="00D34C55">
        <w:rPr>
          <w:sz w:val="24"/>
          <w:szCs w:val="24"/>
        </w:rPr>
        <w:t xml:space="preserve"> a legal system:  one could be said</w:t>
      </w:r>
      <w:r w:rsidR="0047533C">
        <w:rPr>
          <w:sz w:val="24"/>
          <w:szCs w:val="24"/>
        </w:rPr>
        <w:t xml:space="preserve">, in a sociological or </w:t>
      </w:r>
      <w:r w:rsidR="0047533C">
        <w:rPr>
          <w:i/>
          <w:sz w:val="24"/>
          <w:szCs w:val="24"/>
        </w:rPr>
        <w:t xml:space="preserve">realpolitik </w:t>
      </w:r>
      <w:r w:rsidR="0047533C">
        <w:rPr>
          <w:sz w:val="24"/>
          <w:szCs w:val="24"/>
        </w:rPr>
        <w:t>sense,</w:t>
      </w:r>
      <w:r w:rsidR="00D34C55">
        <w:rPr>
          <w:sz w:val="24"/>
          <w:szCs w:val="24"/>
        </w:rPr>
        <w:t xml:space="preserve"> to be subject to a legal system</w:t>
      </w:r>
      <w:r w:rsidR="007E7B5C">
        <w:rPr>
          <w:sz w:val="24"/>
          <w:szCs w:val="24"/>
        </w:rPr>
        <w:t xml:space="preserve"> and bound by its norms</w:t>
      </w:r>
      <w:r w:rsidR="00D34C55">
        <w:rPr>
          <w:sz w:val="24"/>
          <w:szCs w:val="24"/>
        </w:rPr>
        <w:t xml:space="preserve"> if one lives in a country where there is a generally efficacious system.  </w:t>
      </w:r>
      <w:r w:rsidR="0047533C">
        <w:rPr>
          <w:sz w:val="24"/>
          <w:szCs w:val="24"/>
        </w:rPr>
        <w:t xml:space="preserve"> There is a prudential “ought” – like the Holmesian “bad man,” one knows to avoid actions that will make one subject to the coercive power of the state.  </w:t>
      </w:r>
    </w:p>
    <w:p w:rsidR="00D44394" w:rsidRDefault="00D44394">
      <w:pPr>
        <w:rPr>
          <w:sz w:val="24"/>
          <w:szCs w:val="24"/>
        </w:rPr>
      </w:pPr>
      <w:r>
        <w:rPr>
          <w:sz w:val="24"/>
          <w:szCs w:val="24"/>
        </w:rPr>
        <w:tab/>
        <w:t xml:space="preserve">However, this is not the sense of legal obligation that </w:t>
      </w:r>
      <w:r w:rsidR="0047533C">
        <w:rPr>
          <w:sz w:val="24"/>
          <w:szCs w:val="24"/>
        </w:rPr>
        <w:t xml:space="preserve">is claimed by or derives from </w:t>
      </w:r>
      <w:r>
        <w:rPr>
          <w:sz w:val="24"/>
          <w:szCs w:val="24"/>
        </w:rPr>
        <w:t>major legal systems.</w:t>
      </w:r>
      <w:r w:rsidR="00DA1E67">
        <w:rPr>
          <w:sz w:val="24"/>
          <w:szCs w:val="24"/>
        </w:rPr>
        <w:t xml:space="preserve">  Hans Kelsen famously argued that two of central aspects of law were that it is normative, and that it is a hierarchical system.  </w:t>
      </w:r>
      <w:r w:rsidR="008A1378">
        <w:rPr>
          <w:sz w:val="24"/>
          <w:szCs w:val="24"/>
        </w:rPr>
        <w:t xml:space="preserve"> Central to</w:t>
      </w:r>
      <w:r w:rsidR="00C42DBF">
        <w:rPr>
          <w:sz w:val="24"/>
          <w:szCs w:val="24"/>
        </w:rPr>
        <w:t xml:space="preserve"> Kelsen’s work is the insight, attributed </w:t>
      </w:r>
      <w:r w:rsidR="008A1378">
        <w:rPr>
          <w:sz w:val="24"/>
          <w:szCs w:val="24"/>
        </w:rPr>
        <w:t xml:space="preserve">originally </w:t>
      </w:r>
      <w:r w:rsidR="00C42DBF">
        <w:rPr>
          <w:sz w:val="24"/>
          <w:szCs w:val="24"/>
        </w:rPr>
        <w:t>to David Hume</w:t>
      </w:r>
      <w:r w:rsidR="00604A67">
        <w:rPr>
          <w:sz w:val="24"/>
          <w:szCs w:val="24"/>
        </w:rPr>
        <w:t>,</w:t>
      </w:r>
      <w:r w:rsidR="00604A67">
        <w:rPr>
          <w:rStyle w:val="FootnoteReference"/>
          <w:sz w:val="24"/>
          <w:szCs w:val="24"/>
        </w:rPr>
        <w:footnoteReference w:id="18"/>
      </w:r>
      <w:r w:rsidR="008A1378">
        <w:rPr>
          <w:sz w:val="24"/>
          <w:szCs w:val="24"/>
        </w:rPr>
        <w:t xml:space="preserve"> but now widely accepted</w:t>
      </w:r>
      <w:r w:rsidR="00C42DBF">
        <w:rPr>
          <w:sz w:val="24"/>
          <w:szCs w:val="24"/>
        </w:rPr>
        <w:t>, that there is a sharp division between “is” and “ought,” that statements of what “ought” to be done cannot be derived</w:t>
      </w:r>
      <w:r w:rsidR="00922532">
        <w:rPr>
          <w:sz w:val="24"/>
          <w:szCs w:val="24"/>
        </w:rPr>
        <w:t xml:space="preserve"> solely</w:t>
      </w:r>
      <w:r w:rsidR="00C42DBF">
        <w:rPr>
          <w:sz w:val="24"/>
          <w:szCs w:val="24"/>
        </w:rPr>
        <w:t xml:space="preserve"> from statements of what “is” the case.  </w:t>
      </w:r>
    </w:p>
    <w:p w:rsidR="00813A82" w:rsidRDefault="00813A82">
      <w:pPr>
        <w:rPr>
          <w:sz w:val="24"/>
          <w:szCs w:val="24"/>
        </w:rPr>
      </w:pPr>
      <w:r>
        <w:rPr>
          <w:sz w:val="24"/>
          <w:szCs w:val="24"/>
        </w:rPr>
        <w:tab/>
        <w:t>As Kelsen explains, law is a normative order, a system of “ought” statements, and like all such normative systems,</w:t>
      </w:r>
      <w:r w:rsidR="002D714B">
        <w:rPr>
          <w:sz w:val="24"/>
          <w:szCs w:val="24"/>
        </w:rPr>
        <w:t xml:space="preserve"> it</w:t>
      </w:r>
      <w:r>
        <w:rPr>
          <w:sz w:val="24"/>
          <w:szCs w:val="24"/>
        </w:rPr>
        <w:t xml:space="preserve"> is grounded ultimately on a foundational norm.</w:t>
      </w:r>
      <w:r w:rsidR="00E60FE8">
        <w:rPr>
          <w:rStyle w:val="FootnoteReference"/>
          <w:sz w:val="24"/>
          <w:szCs w:val="24"/>
        </w:rPr>
        <w:footnoteReference w:id="19"/>
      </w:r>
      <w:r>
        <w:rPr>
          <w:sz w:val="24"/>
          <w:szCs w:val="24"/>
        </w:rPr>
        <w:t xml:space="preserve">  </w:t>
      </w:r>
      <w:r w:rsidR="00CA3A31">
        <w:rPr>
          <w:sz w:val="24"/>
          <w:szCs w:val="24"/>
        </w:rPr>
        <w:t xml:space="preserve">For Kelsen, this is true for all normative systems.  </w:t>
      </w:r>
      <w:r w:rsidR="00604A67">
        <w:rPr>
          <w:sz w:val="24"/>
          <w:szCs w:val="24"/>
        </w:rPr>
        <w:t>For example, a</w:t>
      </w:r>
      <w:r w:rsidR="00CA3A31">
        <w:rPr>
          <w:sz w:val="24"/>
          <w:szCs w:val="24"/>
        </w:rPr>
        <w:t xml:space="preserve"> theological morality might be grounded on the foundational norm, act according to the norms promulgated by the Creator-God</w:t>
      </w:r>
      <w:r w:rsidR="00604A67">
        <w:rPr>
          <w:sz w:val="24"/>
          <w:szCs w:val="24"/>
        </w:rPr>
        <w:t>; and a secular utilitarian morality might be grounded on a foundational norm stating that one should maximize total utility</w:t>
      </w:r>
      <w:r w:rsidR="00CA3A31">
        <w:rPr>
          <w:sz w:val="24"/>
          <w:szCs w:val="24"/>
        </w:rPr>
        <w:t xml:space="preserve">.  For Kelsen, the foundational norm of the legal system (his </w:t>
      </w:r>
      <w:r w:rsidR="00CA3A31">
        <w:rPr>
          <w:i/>
          <w:sz w:val="24"/>
          <w:szCs w:val="24"/>
        </w:rPr>
        <w:t xml:space="preserve">Grundnorm </w:t>
      </w:r>
      <w:r w:rsidR="00CA3A31">
        <w:rPr>
          <w:sz w:val="24"/>
          <w:szCs w:val="24"/>
        </w:rPr>
        <w:t xml:space="preserve">or “Basic Norm”) was generally:  act in accordance with the norms of the historically first constitution.  </w:t>
      </w:r>
    </w:p>
    <w:p w:rsidR="00792E21" w:rsidRDefault="00792E21">
      <w:pPr>
        <w:rPr>
          <w:sz w:val="24"/>
          <w:szCs w:val="24"/>
        </w:rPr>
      </w:pPr>
      <w:r>
        <w:rPr>
          <w:sz w:val="24"/>
          <w:szCs w:val="24"/>
        </w:rPr>
        <w:tab/>
        <w:t>As Kelsen wrote, we rarely consciously accept or adopt the foundational norm, but when we assert in normative language some lesser norm – “do not commit adultery [because God prohibits it]” or “you are not allowed to park here [because the law prohibits it]” – we are implicitly endorsin</w:t>
      </w:r>
      <w:r w:rsidR="002061B5">
        <w:rPr>
          <w:sz w:val="24"/>
          <w:szCs w:val="24"/>
        </w:rPr>
        <w:t xml:space="preserve">g the foundational norm that ultimately grounds the lesser or lower norm.  In Kelsen’s terminology, the foundational norm is “presupposed” in the assertion of the lesser or lower norm. </w:t>
      </w:r>
    </w:p>
    <w:p w:rsidR="002061B5" w:rsidRDefault="002061B5">
      <w:pPr>
        <w:rPr>
          <w:sz w:val="24"/>
          <w:szCs w:val="24"/>
        </w:rPr>
      </w:pPr>
      <w:r>
        <w:rPr>
          <w:sz w:val="24"/>
          <w:szCs w:val="24"/>
        </w:rPr>
        <w:tab/>
      </w:r>
      <w:r w:rsidR="00BE18D0">
        <w:rPr>
          <w:sz w:val="24"/>
          <w:szCs w:val="24"/>
        </w:rPr>
        <w:t xml:space="preserve">Though this is some controversy about the best understanding of Kelsen’s writings on this matter, Kelsen did clearly state that </w:t>
      </w:r>
      <w:r w:rsidR="00110AE3">
        <w:rPr>
          <w:sz w:val="24"/>
          <w:szCs w:val="24"/>
        </w:rPr>
        <w:t xml:space="preserve">not everyone will presuppose the Basic Norm.  The anarchist, he writes, will </w:t>
      </w:r>
      <w:r w:rsidR="00110AE3">
        <w:rPr>
          <w:i/>
          <w:sz w:val="24"/>
          <w:szCs w:val="24"/>
        </w:rPr>
        <w:t xml:space="preserve">not </w:t>
      </w:r>
      <w:r w:rsidR="00110AE3">
        <w:rPr>
          <w:sz w:val="24"/>
          <w:szCs w:val="24"/>
        </w:rPr>
        <w:t>see the actions of state officials in a normative way, but will see them only as exercises of brute power.</w:t>
      </w:r>
      <w:r w:rsidR="008068D3">
        <w:rPr>
          <w:rStyle w:val="FootnoteReference"/>
          <w:sz w:val="24"/>
          <w:szCs w:val="24"/>
        </w:rPr>
        <w:footnoteReference w:id="20"/>
      </w:r>
      <w:r w:rsidR="00110AE3">
        <w:rPr>
          <w:sz w:val="24"/>
          <w:szCs w:val="24"/>
        </w:rPr>
        <w:t xml:space="preserve">  </w:t>
      </w:r>
      <w:r w:rsidR="00E67861">
        <w:rPr>
          <w:sz w:val="24"/>
          <w:szCs w:val="24"/>
        </w:rPr>
        <w:t>He writes:</w:t>
      </w:r>
    </w:p>
    <w:p w:rsidR="00E67861" w:rsidRDefault="00E67861">
      <w:pPr>
        <w:rPr>
          <w:sz w:val="24"/>
          <w:szCs w:val="24"/>
        </w:rPr>
      </w:pPr>
      <w:r>
        <w:rPr>
          <w:sz w:val="24"/>
          <w:szCs w:val="24"/>
        </w:rPr>
        <w:tab/>
        <w:t xml:space="preserve">“But there is no necessity to presuppose the basic norm.  One may abstain from </w:t>
      </w:r>
    </w:p>
    <w:p w:rsidR="00E67861" w:rsidRDefault="00E67861">
      <w:pPr>
        <w:rPr>
          <w:sz w:val="24"/>
          <w:szCs w:val="24"/>
        </w:rPr>
      </w:pPr>
      <w:r>
        <w:rPr>
          <w:sz w:val="24"/>
          <w:szCs w:val="24"/>
        </w:rPr>
        <w:tab/>
        <w:t xml:space="preserve">interpreting human behavior according to legal norms, that is according to the </w:t>
      </w:r>
    </w:p>
    <w:p w:rsidR="00E67861" w:rsidRDefault="00E67861">
      <w:pPr>
        <w:rPr>
          <w:sz w:val="24"/>
          <w:szCs w:val="24"/>
        </w:rPr>
      </w:pPr>
      <w:r>
        <w:rPr>
          <w:sz w:val="24"/>
          <w:szCs w:val="24"/>
        </w:rPr>
        <w:tab/>
        <w:t>meaning implicit in certain human acts.  The system of norms that we call ‘legal order’</w:t>
      </w:r>
    </w:p>
    <w:p w:rsidR="00E67861" w:rsidRDefault="00E67861">
      <w:pPr>
        <w:rPr>
          <w:sz w:val="24"/>
          <w:szCs w:val="24"/>
        </w:rPr>
      </w:pPr>
      <w:r>
        <w:rPr>
          <w:sz w:val="24"/>
          <w:szCs w:val="24"/>
        </w:rPr>
        <w:tab/>
        <w:t xml:space="preserve">is a possible but not a necessary scheme of interpretation.  An anarchist will decline to </w:t>
      </w:r>
    </w:p>
    <w:p w:rsidR="00A768F0" w:rsidRDefault="00E67861">
      <w:pPr>
        <w:rPr>
          <w:sz w:val="24"/>
          <w:szCs w:val="24"/>
        </w:rPr>
      </w:pPr>
      <w:r>
        <w:rPr>
          <w:sz w:val="24"/>
          <w:szCs w:val="24"/>
        </w:rPr>
        <w:tab/>
        <w:t>speak of ‘lawful’ and ‘unlawful’ behavio</w:t>
      </w:r>
      <w:r w:rsidR="00A768F0">
        <w:rPr>
          <w:sz w:val="24"/>
          <w:szCs w:val="24"/>
        </w:rPr>
        <w:t>u</w:t>
      </w:r>
      <w:r>
        <w:rPr>
          <w:sz w:val="24"/>
          <w:szCs w:val="24"/>
        </w:rPr>
        <w:t xml:space="preserve">r, of ‘legal duties’ and ‘legal rights’ or </w:t>
      </w:r>
    </w:p>
    <w:p w:rsidR="00A768F0" w:rsidRDefault="00A768F0">
      <w:pPr>
        <w:rPr>
          <w:sz w:val="24"/>
          <w:szCs w:val="24"/>
        </w:rPr>
      </w:pPr>
      <w:r>
        <w:rPr>
          <w:sz w:val="24"/>
          <w:szCs w:val="24"/>
        </w:rPr>
        <w:tab/>
      </w:r>
      <w:r w:rsidR="00E67861">
        <w:rPr>
          <w:sz w:val="24"/>
          <w:szCs w:val="24"/>
        </w:rPr>
        <w:t>‘delicts.’</w:t>
      </w:r>
      <w:r>
        <w:rPr>
          <w:sz w:val="24"/>
          <w:szCs w:val="24"/>
        </w:rPr>
        <w:t xml:space="preserve">  </w:t>
      </w:r>
      <w:r w:rsidR="00E67861">
        <w:rPr>
          <w:sz w:val="24"/>
          <w:szCs w:val="24"/>
        </w:rPr>
        <w:t>He will understand social behavior merely as a process whereby one forces t</w:t>
      </w:r>
      <w:r w:rsidR="00922532">
        <w:rPr>
          <w:sz w:val="24"/>
          <w:szCs w:val="24"/>
        </w:rPr>
        <w:t>he</w:t>
      </w:r>
      <w:r w:rsidR="00E67861">
        <w:rPr>
          <w:sz w:val="24"/>
          <w:szCs w:val="24"/>
        </w:rPr>
        <w:t xml:space="preserve"> </w:t>
      </w:r>
    </w:p>
    <w:p w:rsidR="00E67861" w:rsidRDefault="00A768F0">
      <w:pPr>
        <w:rPr>
          <w:sz w:val="24"/>
          <w:szCs w:val="24"/>
        </w:rPr>
      </w:pPr>
      <w:r>
        <w:rPr>
          <w:sz w:val="24"/>
          <w:szCs w:val="24"/>
        </w:rPr>
        <w:tab/>
      </w:r>
      <w:r w:rsidR="00E67861">
        <w:rPr>
          <w:sz w:val="24"/>
          <w:szCs w:val="24"/>
        </w:rPr>
        <w:t>other to behave in conformity with his wishes or interests.”</w:t>
      </w:r>
      <w:r w:rsidR="00E67861">
        <w:rPr>
          <w:rStyle w:val="FootnoteReference"/>
          <w:sz w:val="24"/>
          <w:szCs w:val="24"/>
        </w:rPr>
        <w:footnoteReference w:id="21"/>
      </w:r>
    </w:p>
    <w:p w:rsidR="00110AE3" w:rsidRDefault="00110AE3">
      <w:pPr>
        <w:rPr>
          <w:sz w:val="24"/>
          <w:szCs w:val="24"/>
        </w:rPr>
      </w:pPr>
      <w:r>
        <w:rPr>
          <w:sz w:val="24"/>
          <w:szCs w:val="24"/>
        </w:rPr>
        <w:tab/>
        <w:t xml:space="preserve">For such an anarchist, the nation’s legal system does not go away – it still has the sort of empirical reality that the American legal realists wrote about:  </w:t>
      </w:r>
      <w:r w:rsidR="002A0DE9">
        <w:rPr>
          <w:sz w:val="24"/>
          <w:szCs w:val="24"/>
        </w:rPr>
        <w:t>citizens will want to know how they can avoid punishments given by legal officials, and what sanctions they will face if and when they “step over the line.”</w:t>
      </w:r>
      <w:r w:rsidR="00F1026E">
        <w:rPr>
          <w:rStyle w:val="FootnoteReference"/>
          <w:sz w:val="24"/>
          <w:szCs w:val="24"/>
        </w:rPr>
        <w:footnoteReference w:id="22"/>
      </w:r>
      <w:r w:rsidR="002A0DE9">
        <w:rPr>
          <w:sz w:val="24"/>
          <w:szCs w:val="24"/>
        </w:rPr>
        <w:t xml:space="preserve">  </w:t>
      </w:r>
      <w:r w:rsidR="009C5250">
        <w:rPr>
          <w:sz w:val="24"/>
          <w:szCs w:val="24"/>
        </w:rPr>
        <w:t xml:space="preserve">The law applies to the anarchist, in the obvious sense that she is vulnerable to the coercion done in its name.  However, the anarchist is not subject to </w:t>
      </w:r>
      <w:r w:rsidR="009C5250" w:rsidRPr="00F1026E">
        <w:rPr>
          <w:i/>
          <w:sz w:val="24"/>
          <w:szCs w:val="24"/>
        </w:rPr>
        <w:t>the legal ought</w:t>
      </w:r>
      <w:r w:rsidR="009C5250">
        <w:rPr>
          <w:sz w:val="24"/>
          <w:szCs w:val="24"/>
        </w:rPr>
        <w:t xml:space="preserve">, because she does not accept, or presuppose, the foundational norm grounding the legal </w:t>
      </w:r>
      <w:r w:rsidR="009C5250">
        <w:rPr>
          <w:i/>
          <w:sz w:val="24"/>
          <w:szCs w:val="24"/>
        </w:rPr>
        <w:t xml:space="preserve">normative </w:t>
      </w:r>
      <w:r w:rsidR="009C5250">
        <w:rPr>
          <w:sz w:val="24"/>
          <w:szCs w:val="24"/>
        </w:rPr>
        <w:t xml:space="preserve">system.  </w:t>
      </w:r>
    </w:p>
    <w:p w:rsidR="00464214" w:rsidRDefault="00464214">
      <w:pPr>
        <w:rPr>
          <w:sz w:val="24"/>
          <w:szCs w:val="24"/>
        </w:rPr>
      </w:pPr>
      <w:r>
        <w:rPr>
          <w:sz w:val="24"/>
          <w:szCs w:val="24"/>
        </w:rPr>
        <w:tab/>
        <w:t>I want to emphasize that finding the best and truest understanding of Kelsen’s intentions is not my ultimate goal here.  That would have been a difficult task at the best of time, given how much Kelsen wrote over how many decades, and how much his views clearly changed over that time.  My focus here is to consider some basic ideas that Kelsen expressed, or at least that his texts pointed towards, even if his own view, precisely understood, may not have endorsed</w:t>
      </w:r>
      <w:r w:rsidR="00B47AE5">
        <w:rPr>
          <w:sz w:val="24"/>
          <w:szCs w:val="24"/>
        </w:rPr>
        <w:t xml:space="preserve"> the position presented here</w:t>
      </w:r>
      <w:r>
        <w:rPr>
          <w:sz w:val="24"/>
          <w:szCs w:val="24"/>
        </w:rPr>
        <w:t xml:space="preserve">.  </w:t>
      </w:r>
    </w:p>
    <w:p w:rsidR="002D714B" w:rsidRDefault="002D714B">
      <w:pPr>
        <w:rPr>
          <w:sz w:val="24"/>
          <w:szCs w:val="24"/>
        </w:rPr>
      </w:pPr>
      <w:r>
        <w:rPr>
          <w:sz w:val="24"/>
          <w:szCs w:val="24"/>
        </w:rPr>
        <w:tab/>
        <w:t>There is a sense, then, that law is binding on us if and only if we in some sense accept it – b</w:t>
      </w:r>
      <w:r w:rsidR="00B47AE5">
        <w:rPr>
          <w:sz w:val="24"/>
          <w:szCs w:val="24"/>
        </w:rPr>
        <w:t>y</w:t>
      </w:r>
      <w:r>
        <w:rPr>
          <w:sz w:val="24"/>
          <w:szCs w:val="24"/>
        </w:rPr>
        <w:t xml:space="preserve"> adopting or at least presupposing the foundational norm of the legal system.  This may seem radical, but I would argue that it is no more radical than the natural law theorist Mark Murphy’s argument that individuals are bound by divine commands if and only if they choose to </w:t>
      </w:r>
      <w:r w:rsidR="00640AC7">
        <w:rPr>
          <w:sz w:val="24"/>
          <w:szCs w:val="24"/>
        </w:rPr>
        <w:t>submit themselves to divine authority</w:t>
      </w:r>
      <w:r>
        <w:rPr>
          <w:sz w:val="24"/>
          <w:szCs w:val="24"/>
        </w:rPr>
        <w:t>.</w:t>
      </w:r>
      <w:r>
        <w:rPr>
          <w:rStyle w:val="FootnoteReference"/>
          <w:sz w:val="24"/>
          <w:szCs w:val="24"/>
        </w:rPr>
        <w:footnoteReference w:id="23"/>
      </w:r>
      <w:r w:rsidR="00640AC7">
        <w:rPr>
          <w:sz w:val="24"/>
          <w:szCs w:val="24"/>
        </w:rPr>
        <w:t xml:space="preserve">  Philosophers of morality and other normative systems, from at least the time of Hume, have urged caution before concluding that there are normative obligations – “ought” is not to be lightly ascribed.  </w:t>
      </w:r>
    </w:p>
    <w:p w:rsidR="009C5250" w:rsidRDefault="009C5250">
      <w:pPr>
        <w:rPr>
          <w:sz w:val="24"/>
          <w:szCs w:val="24"/>
        </w:rPr>
      </w:pPr>
      <w:r>
        <w:rPr>
          <w:sz w:val="24"/>
          <w:szCs w:val="24"/>
        </w:rPr>
        <w:tab/>
        <w:t xml:space="preserve">Let me clarify one point:  </w:t>
      </w:r>
      <w:r w:rsidR="00F1026E">
        <w:rPr>
          <w:sz w:val="24"/>
          <w:szCs w:val="24"/>
        </w:rPr>
        <w:t>there are statements of what one ought to do that are</w:t>
      </w:r>
      <w:r w:rsidR="00B47AE5">
        <w:rPr>
          <w:sz w:val="24"/>
          <w:szCs w:val="24"/>
        </w:rPr>
        <w:t xml:space="preserve"> not moral, but are</w:t>
      </w:r>
      <w:r w:rsidR="00F1026E">
        <w:rPr>
          <w:sz w:val="24"/>
          <w:szCs w:val="24"/>
        </w:rPr>
        <w:t xml:space="preserve"> entirely prudential.  In this sense, one “ought” to obey the law if disobedience will lead to bad consequences (jail time, financial penalties, loss of job, loss of reputation, etc.) that one has self-interested reasons to avoid.  A prudential view overlaps the American legal realist analysis</w:t>
      </w:r>
      <w:r w:rsidR="00B47AE5">
        <w:rPr>
          <w:sz w:val="24"/>
          <w:szCs w:val="24"/>
        </w:rPr>
        <w:t xml:space="preserve"> offered earlier</w:t>
      </w:r>
      <w:r w:rsidR="00F1026E">
        <w:rPr>
          <w:sz w:val="24"/>
          <w:szCs w:val="24"/>
        </w:rPr>
        <w:t xml:space="preserve">, without being identical to it.  </w:t>
      </w:r>
    </w:p>
    <w:p w:rsidR="00586DD6" w:rsidRDefault="00586DD6">
      <w:pPr>
        <w:rPr>
          <w:sz w:val="24"/>
          <w:szCs w:val="24"/>
        </w:rPr>
      </w:pPr>
      <w:r>
        <w:rPr>
          <w:sz w:val="24"/>
          <w:szCs w:val="24"/>
        </w:rPr>
        <w:tab/>
        <w:t xml:space="preserve">To say that one sometimes has a </w:t>
      </w:r>
      <w:r>
        <w:rPr>
          <w:i/>
          <w:sz w:val="24"/>
          <w:szCs w:val="24"/>
        </w:rPr>
        <w:t xml:space="preserve">prudential </w:t>
      </w:r>
      <w:r>
        <w:rPr>
          <w:sz w:val="24"/>
          <w:szCs w:val="24"/>
        </w:rPr>
        <w:t>reason to act as the law prescribes is different from saying that one has a legal reason.  Law purports to prohibit, require, and authorize even when its norms are unenforced, selectively enfor</w:t>
      </w:r>
      <w:r w:rsidR="00146872">
        <w:rPr>
          <w:sz w:val="24"/>
          <w:szCs w:val="24"/>
        </w:rPr>
        <w:t>ced, or in some other way under-</w:t>
      </w:r>
      <w:r>
        <w:rPr>
          <w:sz w:val="24"/>
          <w:szCs w:val="24"/>
        </w:rPr>
        <w:t xml:space="preserve">enforced.  </w:t>
      </w:r>
      <w:r w:rsidR="005362BC">
        <w:rPr>
          <w:i/>
          <w:sz w:val="24"/>
          <w:szCs w:val="24"/>
        </w:rPr>
        <w:t xml:space="preserve">Legal </w:t>
      </w:r>
      <w:r w:rsidR="005362BC">
        <w:rPr>
          <w:sz w:val="24"/>
          <w:szCs w:val="24"/>
        </w:rPr>
        <w:t xml:space="preserve">reasons, or </w:t>
      </w:r>
      <w:r w:rsidR="005362BC">
        <w:rPr>
          <w:i/>
          <w:sz w:val="24"/>
          <w:szCs w:val="24"/>
        </w:rPr>
        <w:t xml:space="preserve">legal </w:t>
      </w:r>
      <w:r w:rsidR="005362BC">
        <w:rPr>
          <w:sz w:val="24"/>
          <w:szCs w:val="24"/>
        </w:rPr>
        <w:t>obligations, where they exist and apply, apply equally to all norms and rules valid in the legal system in question, regardless of how strenuously or laxly they are enforced.</w:t>
      </w:r>
    </w:p>
    <w:p w:rsidR="00E63672" w:rsidRDefault="009466C5" w:rsidP="009466C5">
      <w:pPr>
        <w:rPr>
          <w:sz w:val="24"/>
          <w:szCs w:val="24"/>
        </w:rPr>
      </w:pPr>
      <w:r>
        <w:rPr>
          <w:sz w:val="24"/>
          <w:szCs w:val="24"/>
        </w:rPr>
        <w:tab/>
        <w:t>I offer a suggestion</w:t>
      </w:r>
      <w:r w:rsidR="00D94B74">
        <w:rPr>
          <w:sz w:val="24"/>
          <w:szCs w:val="24"/>
        </w:rPr>
        <w:t>,</w:t>
      </w:r>
      <w:r>
        <w:rPr>
          <w:sz w:val="24"/>
          <w:szCs w:val="24"/>
        </w:rPr>
        <w:t xml:space="preserve"> simultaneously simple, naïve, and radical, </w:t>
      </w:r>
      <w:r w:rsidR="00D94B74">
        <w:rPr>
          <w:sz w:val="24"/>
          <w:szCs w:val="24"/>
        </w:rPr>
        <w:t>a view</w:t>
      </w:r>
      <w:r>
        <w:rPr>
          <w:sz w:val="24"/>
          <w:szCs w:val="24"/>
        </w:rPr>
        <w:t xml:space="preserve"> that goes back to H. L. A. Hart:  that </w:t>
      </w:r>
      <w:r w:rsidR="00E66164" w:rsidRPr="00F16D68">
        <w:rPr>
          <w:sz w:val="24"/>
          <w:szCs w:val="24"/>
        </w:rPr>
        <w:t xml:space="preserve">law </w:t>
      </w:r>
      <w:r w:rsidR="0027008C">
        <w:rPr>
          <w:sz w:val="24"/>
          <w:szCs w:val="24"/>
        </w:rPr>
        <w:t>i</w:t>
      </w:r>
      <w:r w:rsidR="00E66164" w:rsidRPr="00F16D68">
        <w:rPr>
          <w:sz w:val="24"/>
          <w:szCs w:val="24"/>
        </w:rPr>
        <w:t xml:space="preserve">s a </w:t>
      </w:r>
      <w:r w:rsidR="00E66164" w:rsidRPr="00F16D68">
        <w:rPr>
          <w:i/>
          <w:sz w:val="24"/>
          <w:szCs w:val="24"/>
        </w:rPr>
        <w:t>sui generis</w:t>
      </w:r>
      <w:r w:rsidR="00E66164" w:rsidRPr="00F16D68">
        <w:rPr>
          <w:sz w:val="24"/>
          <w:szCs w:val="24"/>
        </w:rPr>
        <w:t xml:space="preserve"> form of normativity,</w:t>
      </w:r>
      <w:r w:rsidR="00E66164">
        <w:rPr>
          <w:sz w:val="24"/>
          <w:szCs w:val="24"/>
        </w:rPr>
        <w:t xml:space="preserve"> a form of norm</w:t>
      </w:r>
      <w:r>
        <w:rPr>
          <w:sz w:val="24"/>
          <w:szCs w:val="24"/>
        </w:rPr>
        <w:t xml:space="preserve">ativity </w:t>
      </w:r>
      <w:r w:rsidR="008068D3">
        <w:rPr>
          <w:sz w:val="24"/>
          <w:szCs w:val="24"/>
        </w:rPr>
        <w:t xml:space="preserve">of its own, that is not identical with </w:t>
      </w:r>
      <w:r w:rsidR="0027008C">
        <w:rPr>
          <w:sz w:val="24"/>
          <w:szCs w:val="24"/>
        </w:rPr>
        <w:t xml:space="preserve">or a subset of </w:t>
      </w:r>
      <w:r w:rsidR="008068D3">
        <w:rPr>
          <w:sz w:val="24"/>
          <w:szCs w:val="24"/>
        </w:rPr>
        <w:t>morality or any other normative system</w:t>
      </w:r>
      <w:r w:rsidR="00E66164" w:rsidRPr="00F16D68">
        <w:rPr>
          <w:sz w:val="24"/>
          <w:szCs w:val="24"/>
        </w:rPr>
        <w:t>.</w:t>
      </w:r>
      <w:r w:rsidR="00E66164" w:rsidRPr="00F16D68">
        <w:rPr>
          <w:sz w:val="24"/>
          <w:szCs w:val="24"/>
          <w:vertAlign w:val="superscript"/>
        </w:rPr>
        <w:footnoteReference w:id="24"/>
      </w:r>
      <w:r w:rsidR="00E66164" w:rsidRPr="00F16D68">
        <w:rPr>
          <w:sz w:val="24"/>
          <w:szCs w:val="24"/>
        </w:rPr>
        <w:t xml:space="preserve">  </w:t>
      </w:r>
      <w:r w:rsidR="00E63672">
        <w:rPr>
          <w:sz w:val="24"/>
          <w:szCs w:val="24"/>
        </w:rPr>
        <w:t xml:space="preserve">Another way of putting the view would be to say that under this approach that legal normativity in general, and legal propositions in particular, do not, by their nature, reduce to or equate to propositions of another type, nor do legal propositions, by their nature, </w:t>
      </w:r>
      <w:r w:rsidR="00E63672">
        <w:rPr>
          <w:i/>
          <w:sz w:val="24"/>
          <w:szCs w:val="24"/>
        </w:rPr>
        <w:t xml:space="preserve">purport to be </w:t>
      </w:r>
      <w:r w:rsidR="00E63672">
        <w:rPr>
          <w:sz w:val="24"/>
          <w:szCs w:val="24"/>
        </w:rPr>
        <w:t>propositions of another type.</w:t>
      </w:r>
      <w:r w:rsidR="006F4BFB">
        <w:rPr>
          <w:sz w:val="24"/>
          <w:szCs w:val="24"/>
        </w:rPr>
        <w:t xml:space="preserve">  Sometimes Hart makes this point indirectly, when he ascribes to “expressions like legal right and legal duty meanings which are not laden with any … connection” to morality.</w:t>
      </w:r>
      <w:r w:rsidR="006F4BFB">
        <w:rPr>
          <w:rStyle w:val="FootnoteReference"/>
          <w:sz w:val="24"/>
          <w:szCs w:val="24"/>
        </w:rPr>
        <w:footnoteReference w:id="25"/>
      </w:r>
      <w:r w:rsidR="006F4BFB">
        <w:rPr>
          <w:sz w:val="24"/>
          <w:szCs w:val="24"/>
        </w:rPr>
        <w:t xml:space="preserve">  At other places, Hart explains his view as simply the assertion that something can be “an authoritative legal reason” without assuming anything about the moral content of the norm in question, or the institution that promulgated it.</w:t>
      </w:r>
      <w:r w:rsidR="006F4BFB">
        <w:rPr>
          <w:rStyle w:val="FootnoteReference"/>
          <w:sz w:val="24"/>
          <w:szCs w:val="24"/>
        </w:rPr>
        <w:footnoteReference w:id="26"/>
      </w:r>
    </w:p>
    <w:p w:rsidR="00E63672" w:rsidRDefault="00E63672" w:rsidP="009466C5">
      <w:pPr>
        <w:rPr>
          <w:sz w:val="24"/>
          <w:szCs w:val="24"/>
        </w:rPr>
      </w:pPr>
      <w:r>
        <w:rPr>
          <w:sz w:val="24"/>
          <w:szCs w:val="24"/>
        </w:rPr>
        <w:tab/>
        <w:t>The contrast, as has already been mentioned, is with views that propositions of what the law requires is just a prediction of what courts will do, or purports to be a claim of what morality requires, or is in fact a statement of a certain kind of moral truth.</w:t>
      </w:r>
      <w:r w:rsidR="00B74C15">
        <w:rPr>
          <w:rStyle w:val="FootnoteReference"/>
          <w:sz w:val="24"/>
          <w:szCs w:val="24"/>
        </w:rPr>
        <w:footnoteReference w:id="27"/>
      </w:r>
      <w:r>
        <w:rPr>
          <w:sz w:val="24"/>
          <w:szCs w:val="24"/>
        </w:rPr>
        <w:t xml:space="preserve">   </w:t>
      </w:r>
    </w:p>
    <w:p w:rsidR="007552FA" w:rsidRDefault="00E63672" w:rsidP="009466C5">
      <w:pPr>
        <w:rPr>
          <w:sz w:val="24"/>
          <w:szCs w:val="24"/>
        </w:rPr>
      </w:pPr>
      <w:r>
        <w:rPr>
          <w:sz w:val="24"/>
          <w:szCs w:val="24"/>
        </w:rPr>
        <w:tab/>
      </w:r>
      <w:r w:rsidR="00E66164" w:rsidRPr="00F16D68">
        <w:rPr>
          <w:sz w:val="24"/>
          <w:szCs w:val="24"/>
        </w:rPr>
        <w:t xml:space="preserve">Hart </w:t>
      </w:r>
      <w:r w:rsidR="009466C5">
        <w:rPr>
          <w:sz w:val="24"/>
          <w:szCs w:val="24"/>
        </w:rPr>
        <w:t>argues that</w:t>
      </w:r>
      <w:r w:rsidR="00E66164" w:rsidRPr="00F16D68">
        <w:rPr>
          <w:sz w:val="24"/>
          <w:szCs w:val="24"/>
        </w:rPr>
        <w:t xml:space="preserve"> for the person who accepts the law, the sort of reason the law gives is a </w:t>
      </w:r>
      <w:r w:rsidR="00E66164" w:rsidRPr="00F16D68">
        <w:rPr>
          <w:i/>
          <w:sz w:val="24"/>
          <w:szCs w:val="24"/>
        </w:rPr>
        <w:t xml:space="preserve">legal </w:t>
      </w:r>
      <w:r w:rsidR="008068D3">
        <w:rPr>
          <w:sz w:val="24"/>
          <w:szCs w:val="24"/>
        </w:rPr>
        <w:t>reason – a reason that derives from law, just as one might have reasons that derive from etiquette, fashion, the game of chess, or a certain kind of cooking</w:t>
      </w:r>
      <w:r w:rsidR="00E66164" w:rsidRPr="00F16D68">
        <w:rPr>
          <w:sz w:val="24"/>
          <w:szCs w:val="24"/>
        </w:rPr>
        <w:t xml:space="preserve">.  </w:t>
      </w:r>
      <w:r w:rsidR="00527A51">
        <w:rPr>
          <w:sz w:val="24"/>
          <w:szCs w:val="24"/>
        </w:rPr>
        <w:t xml:space="preserve">There are reasons internal to a particular practice or normative system.  </w:t>
      </w:r>
    </w:p>
    <w:p w:rsidR="00D94B74" w:rsidRDefault="00527A51" w:rsidP="009466C5">
      <w:pPr>
        <w:rPr>
          <w:sz w:val="24"/>
          <w:szCs w:val="24"/>
        </w:rPr>
      </w:pPr>
      <w:r>
        <w:rPr>
          <w:sz w:val="24"/>
          <w:szCs w:val="24"/>
        </w:rPr>
        <w:tab/>
        <w:t>Some might find this absurd, or at last paradoxical.  To some, it seems obvious that “</w:t>
      </w:r>
      <w:r w:rsidR="00E66164" w:rsidRPr="00F16D68">
        <w:rPr>
          <w:i/>
          <w:sz w:val="24"/>
          <w:szCs w:val="24"/>
        </w:rPr>
        <w:t>legal</w:t>
      </w:r>
      <w:r w:rsidR="00E66164" w:rsidRPr="00F16D68">
        <w:rPr>
          <w:sz w:val="24"/>
          <w:szCs w:val="24"/>
        </w:rPr>
        <w:t xml:space="preserve"> reasons” should reduce</w:t>
      </w:r>
      <w:r>
        <w:rPr>
          <w:sz w:val="24"/>
          <w:szCs w:val="24"/>
        </w:rPr>
        <w:t xml:space="preserve"> to (be considered the equivalent of)</w:t>
      </w:r>
      <w:r w:rsidR="00E66164" w:rsidRPr="00F16D68">
        <w:rPr>
          <w:sz w:val="24"/>
          <w:szCs w:val="24"/>
        </w:rPr>
        <w:t xml:space="preserve"> either prudential reasons, on one hand, or moral reasons, on the other.   </w:t>
      </w:r>
      <w:r w:rsidR="00D94B74">
        <w:rPr>
          <w:sz w:val="24"/>
          <w:szCs w:val="24"/>
        </w:rPr>
        <w:t xml:space="preserve">The impulse is understandable.  How else to understand “legal reason” or “legal obligation” – the </w:t>
      </w:r>
      <w:r w:rsidR="0036480D">
        <w:rPr>
          <w:sz w:val="24"/>
          <w:szCs w:val="24"/>
        </w:rPr>
        <w:t>inclination</w:t>
      </w:r>
      <w:r w:rsidR="00D94B74">
        <w:rPr>
          <w:sz w:val="24"/>
          <w:szCs w:val="24"/>
        </w:rPr>
        <w:t>, on one hand, to focus on the sanctions (and rewards) that back up legal norms, or, on the other hand, to see how the “ought” of law seems interchangeable with the “ought”</w:t>
      </w:r>
      <w:r w:rsidR="00B6482F">
        <w:rPr>
          <w:sz w:val="24"/>
          <w:szCs w:val="24"/>
        </w:rPr>
        <w:t xml:space="preserve"> of morality. </w:t>
      </w:r>
    </w:p>
    <w:p w:rsidR="00B6482F" w:rsidRDefault="00B6482F" w:rsidP="009466C5">
      <w:pPr>
        <w:rPr>
          <w:sz w:val="24"/>
          <w:szCs w:val="24"/>
        </w:rPr>
      </w:pPr>
      <w:r>
        <w:rPr>
          <w:sz w:val="24"/>
          <w:szCs w:val="24"/>
        </w:rPr>
        <w:tab/>
        <w:t xml:space="preserve">However, I think that equating law either with outcomes only or with </w:t>
      </w:r>
      <w:r w:rsidR="00550A6A">
        <w:rPr>
          <w:sz w:val="24"/>
          <w:szCs w:val="24"/>
        </w:rPr>
        <w:t xml:space="preserve">morality only is unjustified.  Like many academic theories, it discounts the obvious in the search for the subtle and the sophisticated. </w:t>
      </w:r>
    </w:p>
    <w:p w:rsidR="0069434A" w:rsidRDefault="0069434A" w:rsidP="009466C5">
      <w:pPr>
        <w:rPr>
          <w:sz w:val="24"/>
          <w:szCs w:val="24"/>
        </w:rPr>
      </w:pPr>
      <w:r>
        <w:rPr>
          <w:sz w:val="24"/>
          <w:szCs w:val="24"/>
        </w:rPr>
        <w:tab/>
        <w:t>John Finnis concurs, while making a somewhat different point.  He argues that while law may claim to be reasonable (in the precise sense of “being controlled by reasons,” responsive to “such criteria as coherence and validity”), it does not, and should not, claim to be morally obligatory, because it creates prescriptions over a wide range of conduct, and even a moral</w:t>
      </w:r>
      <w:r w:rsidR="00B47AE5">
        <w:rPr>
          <w:sz w:val="24"/>
          <w:szCs w:val="24"/>
        </w:rPr>
        <w:t>ly</w:t>
      </w:r>
      <w:r>
        <w:rPr>
          <w:sz w:val="24"/>
          <w:szCs w:val="24"/>
        </w:rPr>
        <w:t xml:space="preserve"> praiseworthy legal system will create prescriptions which the practically reasonable person would need to violate on occasions where there are stronger competing moral obligations.</w:t>
      </w:r>
      <w:r>
        <w:rPr>
          <w:rStyle w:val="FootnoteReference"/>
          <w:sz w:val="24"/>
          <w:szCs w:val="24"/>
        </w:rPr>
        <w:footnoteReference w:id="28"/>
      </w:r>
    </w:p>
    <w:p w:rsidR="008B1226" w:rsidRPr="008B1226" w:rsidRDefault="008B1226" w:rsidP="009466C5">
      <w:pPr>
        <w:rPr>
          <w:sz w:val="24"/>
          <w:szCs w:val="24"/>
        </w:rPr>
      </w:pPr>
      <w:r>
        <w:rPr>
          <w:sz w:val="24"/>
          <w:szCs w:val="24"/>
        </w:rPr>
        <w:tab/>
        <w:t xml:space="preserve">Ultimately, the question is whether it is productive – or, on the contrary, absurd – to think that reasoning is often confined within a particular domain:  that one can have “legal reasons” that can differ from not only “moral reasons” and “prudential reasons,” but also “etiquette reasons,” “fashion reasons,” or “chess reasons.”  Tim Scanlon recently defended at length just such a view of reasons and reasons for action in his 2009 John Locke Lectures, later published as </w:t>
      </w:r>
      <w:r>
        <w:rPr>
          <w:i/>
          <w:sz w:val="24"/>
          <w:szCs w:val="24"/>
        </w:rPr>
        <w:t>Being Realistic About Reasons</w:t>
      </w:r>
      <w:r>
        <w:rPr>
          <w:sz w:val="24"/>
          <w:szCs w:val="24"/>
        </w:rPr>
        <w:t>.</w:t>
      </w:r>
      <w:r>
        <w:rPr>
          <w:rStyle w:val="FootnoteReference"/>
          <w:sz w:val="24"/>
          <w:szCs w:val="24"/>
        </w:rPr>
        <w:footnoteReference w:id="29"/>
      </w:r>
      <w:r w:rsidR="000636E8">
        <w:rPr>
          <w:sz w:val="24"/>
          <w:szCs w:val="24"/>
        </w:rPr>
        <w:t xml:space="preserve">  As he argued, reasons tend to have force within particular normative domains, and we should not too quickly assume that reasons in one domain are reducible to, or subject to challenge by, reasons in a separate normative domain.</w:t>
      </w:r>
    </w:p>
    <w:p w:rsidR="005840DE" w:rsidRPr="00E24B94" w:rsidRDefault="00550A6A" w:rsidP="009466C5">
      <w:pPr>
        <w:rPr>
          <w:sz w:val="24"/>
          <w:szCs w:val="24"/>
        </w:rPr>
      </w:pPr>
      <w:r>
        <w:rPr>
          <w:sz w:val="24"/>
          <w:szCs w:val="24"/>
        </w:rPr>
        <w:tab/>
      </w:r>
      <w:r w:rsidR="005840DE">
        <w:rPr>
          <w:sz w:val="24"/>
          <w:szCs w:val="24"/>
        </w:rPr>
        <w:t>One understands the aspects of legal practice that incline theorists like Joseph Raz to argue that law “claims” to be morally authoritative, and the views of theorists like Mark Greenberg, and, before him, Ronald Dworkin (in</w:t>
      </w:r>
      <w:r w:rsidR="003219B1">
        <w:rPr>
          <w:sz w:val="24"/>
          <w:szCs w:val="24"/>
        </w:rPr>
        <w:t xml:space="preserve"> brief and suggestive comments in</w:t>
      </w:r>
      <w:r w:rsidR="005840DE">
        <w:rPr>
          <w:sz w:val="24"/>
          <w:szCs w:val="24"/>
        </w:rPr>
        <w:t xml:space="preserve"> some of </w:t>
      </w:r>
      <w:r w:rsidR="003219B1">
        <w:rPr>
          <w:sz w:val="24"/>
          <w:szCs w:val="24"/>
        </w:rPr>
        <w:t>his</w:t>
      </w:r>
      <w:r w:rsidR="005840DE">
        <w:rPr>
          <w:sz w:val="24"/>
          <w:szCs w:val="24"/>
        </w:rPr>
        <w:t xml:space="preserve"> last </w:t>
      </w:r>
      <w:r w:rsidR="003219B1">
        <w:rPr>
          <w:sz w:val="24"/>
          <w:szCs w:val="24"/>
        </w:rPr>
        <w:t>works</w:t>
      </w:r>
      <w:r w:rsidR="00811EC0">
        <w:rPr>
          <w:rStyle w:val="FootnoteReference"/>
          <w:sz w:val="24"/>
          <w:szCs w:val="24"/>
        </w:rPr>
        <w:footnoteReference w:id="30"/>
      </w:r>
      <w:r w:rsidR="005840DE">
        <w:rPr>
          <w:sz w:val="24"/>
          <w:szCs w:val="24"/>
        </w:rPr>
        <w:t xml:space="preserve">) to say that law simply is an aspect of morality.  </w:t>
      </w:r>
      <w:r w:rsidR="0036480D">
        <w:rPr>
          <w:sz w:val="24"/>
          <w:szCs w:val="24"/>
        </w:rPr>
        <w:t xml:space="preserve">The language of law overlaps the language of morality, with assertions about rights, duties, liberties, and permissions.  That one can find that sort of language in a wide range of normative systems does </w:t>
      </w:r>
      <w:r w:rsidR="00E24B94">
        <w:rPr>
          <w:sz w:val="24"/>
          <w:szCs w:val="24"/>
        </w:rPr>
        <w:t xml:space="preserve">not seem to lessen our tendency to equate </w:t>
      </w:r>
      <w:r w:rsidR="00E24B94">
        <w:rPr>
          <w:i/>
          <w:sz w:val="24"/>
          <w:szCs w:val="24"/>
        </w:rPr>
        <w:t xml:space="preserve">these two </w:t>
      </w:r>
      <w:r w:rsidR="00E24B94">
        <w:rPr>
          <w:sz w:val="24"/>
          <w:szCs w:val="24"/>
        </w:rPr>
        <w:t xml:space="preserve">normative systems. </w:t>
      </w:r>
    </w:p>
    <w:p w:rsidR="00E66164" w:rsidRDefault="0036480D" w:rsidP="009466C5">
      <w:pPr>
        <w:rPr>
          <w:sz w:val="24"/>
          <w:szCs w:val="24"/>
        </w:rPr>
      </w:pPr>
      <w:r>
        <w:rPr>
          <w:sz w:val="24"/>
          <w:szCs w:val="24"/>
        </w:rPr>
        <w:tab/>
        <w:t>However, w</w:t>
      </w:r>
      <w:r w:rsidR="00E66164" w:rsidRPr="00F16D68">
        <w:rPr>
          <w:sz w:val="24"/>
          <w:szCs w:val="24"/>
        </w:rPr>
        <w:t xml:space="preserve">hy should one assume that one has a moral obligation to do as the law says, simply because the law says so?  While it may once have </w:t>
      </w:r>
      <w:r w:rsidR="00DB7C53">
        <w:rPr>
          <w:sz w:val="24"/>
          <w:szCs w:val="24"/>
        </w:rPr>
        <w:t>been the accepted view that “just” or “legitimate”</w:t>
      </w:r>
      <w:r w:rsidR="00E66164" w:rsidRPr="00F16D68">
        <w:rPr>
          <w:sz w:val="24"/>
          <w:szCs w:val="24"/>
        </w:rPr>
        <w:t xml:space="preserve"> legal systems create such general moral obligations to obey their enactments, many theorists today have offered strong arguments against </w:t>
      </w:r>
      <w:r w:rsidR="00DB7C53">
        <w:rPr>
          <w:sz w:val="24"/>
          <w:szCs w:val="24"/>
        </w:rPr>
        <w:t xml:space="preserve">believing that </w:t>
      </w:r>
      <w:r w:rsidR="00E66164" w:rsidRPr="00F16D68">
        <w:rPr>
          <w:sz w:val="24"/>
          <w:szCs w:val="24"/>
        </w:rPr>
        <w:t>such a general obligation</w:t>
      </w:r>
      <w:r w:rsidR="00DB7C53">
        <w:rPr>
          <w:sz w:val="24"/>
          <w:szCs w:val="24"/>
        </w:rPr>
        <w:t xml:space="preserve"> is thus produced</w:t>
      </w:r>
      <w:r w:rsidR="00E66164" w:rsidRPr="00F16D68">
        <w:rPr>
          <w:sz w:val="24"/>
          <w:szCs w:val="24"/>
        </w:rPr>
        <w:t>.</w:t>
      </w:r>
      <w:r w:rsidR="00E66164" w:rsidRPr="00F16D68">
        <w:rPr>
          <w:sz w:val="24"/>
          <w:szCs w:val="24"/>
          <w:vertAlign w:val="superscript"/>
        </w:rPr>
        <w:footnoteReference w:id="31"/>
      </w:r>
      <w:r w:rsidR="00E66164" w:rsidRPr="00F16D68">
        <w:rPr>
          <w:sz w:val="24"/>
          <w:szCs w:val="24"/>
        </w:rPr>
        <w:t xml:space="preserve">  The alternative view</w:t>
      </w:r>
      <w:r w:rsidR="00DB7C53">
        <w:rPr>
          <w:sz w:val="24"/>
          <w:szCs w:val="24"/>
        </w:rPr>
        <w:t>, supported by many modern commentators – and, I think, the better view --</w:t>
      </w:r>
      <w:r w:rsidR="00E66164" w:rsidRPr="00F16D68">
        <w:rPr>
          <w:sz w:val="24"/>
          <w:szCs w:val="24"/>
        </w:rPr>
        <w:t xml:space="preserve"> is that law </w:t>
      </w:r>
      <w:r w:rsidR="00E66164" w:rsidRPr="00F16D68">
        <w:rPr>
          <w:i/>
          <w:sz w:val="24"/>
          <w:szCs w:val="24"/>
        </w:rPr>
        <w:t>sometimes</w:t>
      </w:r>
      <w:r w:rsidR="00E66164" w:rsidRPr="00F16D68">
        <w:rPr>
          <w:sz w:val="24"/>
          <w:szCs w:val="24"/>
        </w:rPr>
        <w:t xml:space="preserve"> creates moral obligations, and that this is a case-by-case analysis, relative to the individual citizen, the particular legal rule, and the coordination problems or expertise claims that may be involved.</w:t>
      </w:r>
      <w:r w:rsidR="00E66164" w:rsidRPr="00F16D68">
        <w:rPr>
          <w:sz w:val="24"/>
          <w:szCs w:val="24"/>
          <w:vertAlign w:val="superscript"/>
        </w:rPr>
        <w:footnoteReference w:id="32"/>
      </w:r>
      <w:r w:rsidR="00E66164" w:rsidRPr="00F16D68">
        <w:rPr>
          <w:sz w:val="24"/>
          <w:szCs w:val="24"/>
        </w:rPr>
        <w:t xml:space="preserve">  There are good reasons to avoid constructing one’s theory of the nature of law around the view that law generally does create, should create, or </w:t>
      </w:r>
      <w:r w:rsidR="00E66164">
        <w:rPr>
          <w:sz w:val="24"/>
          <w:szCs w:val="24"/>
        </w:rPr>
        <w:t xml:space="preserve">even </w:t>
      </w:r>
      <w:r w:rsidR="00E66164" w:rsidRPr="00B02B09">
        <w:rPr>
          <w:i/>
          <w:sz w:val="24"/>
          <w:szCs w:val="24"/>
        </w:rPr>
        <w:t>claims</w:t>
      </w:r>
      <w:r w:rsidR="00E66164" w:rsidRPr="00F16D68">
        <w:rPr>
          <w:sz w:val="24"/>
          <w:szCs w:val="24"/>
        </w:rPr>
        <w:t xml:space="preserve"> to create moral obligations.</w:t>
      </w:r>
      <w:r w:rsidR="00E66164" w:rsidRPr="00F16D68">
        <w:rPr>
          <w:sz w:val="24"/>
          <w:szCs w:val="24"/>
          <w:vertAlign w:val="superscript"/>
        </w:rPr>
        <w:footnoteReference w:id="33"/>
      </w:r>
      <w:r w:rsidR="00E66164" w:rsidRPr="00F16D68">
        <w:rPr>
          <w:sz w:val="24"/>
          <w:szCs w:val="24"/>
        </w:rPr>
        <w:t xml:space="preserve"> </w:t>
      </w:r>
      <w:r w:rsidR="00E66164">
        <w:rPr>
          <w:sz w:val="24"/>
          <w:szCs w:val="24"/>
        </w:rPr>
        <w:t xml:space="preserve"> </w:t>
      </w:r>
    </w:p>
    <w:p w:rsidR="00E66164" w:rsidRDefault="00E66164" w:rsidP="00E66164">
      <w:pPr>
        <w:ind w:firstLine="720"/>
        <w:rPr>
          <w:sz w:val="24"/>
          <w:szCs w:val="24"/>
        </w:rPr>
      </w:pPr>
      <w:r>
        <w:rPr>
          <w:sz w:val="24"/>
          <w:szCs w:val="24"/>
        </w:rPr>
        <w:t xml:space="preserve">Even Finnis, the foremost theorist working today within the Natural Law tradition, rejects the idea that law makes moral claims, and accepts the view that law creates only indefeasible </w:t>
      </w:r>
      <w:r>
        <w:rPr>
          <w:i/>
          <w:sz w:val="24"/>
          <w:szCs w:val="24"/>
        </w:rPr>
        <w:t xml:space="preserve">legal </w:t>
      </w:r>
      <w:r>
        <w:rPr>
          <w:sz w:val="24"/>
          <w:szCs w:val="24"/>
        </w:rPr>
        <w:t>obligations,</w:t>
      </w:r>
      <w:r>
        <w:rPr>
          <w:rStyle w:val="FootnoteReference"/>
          <w:sz w:val="24"/>
          <w:szCs w:val="24"/>
        </w:rPr>
        <w:footnoteReference w:id="34"/>
      </w:r>
      <w:r>
        <w:rPr>
          <w:sz w:val="24"/>
          <w:szCs w:val="24"/>
        </w:rPr>
        <w:t xml:space="preserve"> which are then slotted into </w:t>
      </w:r>
    </w:p>
    <w:p w:rsidR="00E66164" w:rsidRDefault="00E66164" w:rsidP="00E66164">
      <w:pPr>
        <w:ind w:firstLine="720"/>
        <w:rPr>
          <w:sz w:val="24"/>
          <w:szCs w:val="24"/>
        </w:rPr>
      </w:pPr>
      <w:r>
        <w:rPr>
          <w:sz w:val="24"/>
          <w:szCs w:val="24"/>
        </w:rPr>
        <w:t xml:space="preserve">“a flow of general practical reasoning – by good citizens in terms of the common good … </w:t>
      </w:r>
    </w:p>
    <w:p w:rsidR="00E66164" w:rsidRDefault="00E66164" w:rsidP="00E66164">
      <w:pPr>
        <w:ind w:firstLine="720"/>
        <w:rPr>
          <w:sz w:val="24"/>
          <w:szCs w:val="24"/>
        </w:rPr>
      </w:pPr>
      <w:r>
        <w:rPr>
          <w:sz w:val="24"/>
          <w:szCs w:val="24"/>
        </w:rPr>
        <w:t xml:space="preserve">by careerists in the law in terms of what must be done or omitted to promote their own </w:t>
      </w:r>
    </w:p>
    <w:p w:rsidR="00E66164" w:rsidRDefault="00E66164" w:rsidP="00E66164">
      <w:pPr>
        <w:ind w:firstLine="720"/>
        <w:rPr>
          <w:sz w:val="24"/>
          <w:szCs w:val="24"/>
        </w:rPr>
      </w:pPr>
      <w:r>
        <w:rPr>
          <w:sz w:val="24"/>
          <w:szCs w:val="24"/>
        </w:rPr>
        <w:t>advancement towards wealth or office, and by disaffected or criminally opportunistic</w:t>
      </w:r>
    </w:p>
    <w:p w:rsidR="00E66164" w:rsidRDefault="00E66164" w:rsidP="00E66164">
      <w:pPr>
        <w:ind w:firstLine="720"/>
        <w:rPr>
          <w:sz w:val="24"/>
          <w:szCs w:val="24"/>
        </w:rPr>
      </w:pPr>
      <w:r>
        <w:rPr>
          <w:sz w:val="24"/>
          <w:szCs w:val="24"/>
        </w:rPr>
        <w:t>citizens in terms of what they themselves need in order to get by without undesired</w:t>
      </w:r>
    </w:p>
    <w:p w:rsidR="00E66164" w:rsidRPr="00EF64FC" w:rsidRDefault="00E66164" w:rsidP="00E66164">
      <w:pPr>
        <w:ind w:firstLine="720"/>
        <w:rPr>
          <w:sz w:val="24"/>
          <w:szCs w:val="24"/>
        </w:rPr>
      </w:pPr>
      <w:r>
        <w:rPr>
          <w:sz w:val="24"/>
          <w:szCs w:val="24"/>
        </w:rPr>
        <w:t>consequences (punishment and the like).”</w:t>
      </w:r>
      <w:r>
        <w:rPr>
          <w:rStyle w:val="FootnoteReference"/>
          <w:sz w:val="24"/>
          <w:szCs w:val="24"/>
        </w:rPr>
        <w:footnoteReference w:id="35"/>
      </w:r>
    </w:p>
    <w:p w:rsidR="001E5B15" w:rsidRDefault="001E5B15">
      <w:pPr>
        <w:rPr>
          <w:sz w:val="24"/>
          <w:szCs w:val="24"/>
        </w:rPr>
      </w:pPr>
      <w:r>
        <w:rPr>
          <w:sz w:val="24"/>
          <w:szCs w:val="24"/>
        </w:rPr>
        <w:tab/>
      </w:r>
      <w:r w:rsidR="00B47AE5">
        <w:rPr>
          <w:sz w:val="24"/>
          <w:szCs w:val="24"/>
        </w:rPr>
        <w:t xml:space="preserve">By contrast, </w:t>
      </w:r>
      <w:r w:rsidR="00765AFC">
        <w:rPr>
          <w:sz w:val="24"/>
          <w:szCs w:val="24"/>
        </w:rPr>
        <w:t>Greenberg, in his</w:t>
      </w:r>
      <w:r>
        <w:rPr>
          <w:sz w:val="24"/>
          <w:szCs w:val="24"/>
        </w:rPr>
        <w:t xml:space="preserve"> “Moral Impact Theory of Law,”</w:t>
      </w:r>
      <w:r w:rsidR="006C51D9">
        <w:rPr>
          <w:rStyle w:val="FootnoteReference"/>
          <w:sz w:val="24"/>
          <w:szCs w:val="24"/>
        </w:rPr>
        <w:footnoteReference w:id="36"/>
      </w:r>
      <w:r>
        <w:rPr>
          <w:sz w:val="24"/>
          <w:szCs w:val="24"/>
        </w:rPr>
        <w:t xml:space="preserve"> offers the radical view that </w:t>
      </w:r>
      <w:r w:rsidR="006C51D9">
        <w:rPr>
          <w:sz w:val="24"/>
          <w:szCs w:val="24"/>
        </w:rPr>
        <w:t xml:space="preserve">“the </w:t>
      </w:r>
      <w:r>
        <w:rPr>
          <w:sz w:val="24"/>
          <w:szCs w:val="24"/>
        </w:rPr>
        <w:t xml:space="preserve">law </w:t>
      </w:r>
      <w:r w:rsidR="006C51D9">
        <w:rPr>
          <w:sz w:val="24"/>
          <w:szCs w:val="24"/>
        </w:rPr>
        <w:t>is the moral impact of the relevant actions of legal institutions.”</w:t>
      </w:r>
      <w:r w:rsidR="006C51D9">
        <w:rPr>
          <w:rStyle w:val="FootnoteReference"/>
          <w:sz w:val="24"/>
          <w:szCs w:val="24"/>
        </w:rPr>
        <w:footnoteReference w:id="37"/>
      </w:r>
      <w:r w:rsidR="003251A2">
        <w:rPr>
          <w:sz w:val="24"/>
          <w:szCs w:val="24"/>
        </w:rPr>
        <w:t xml:space="preserve">  Law, under this analysis, is thus a quite specific subset of morality:  the impact on our moral rights, duties, and authorizations by the actions of legal officials.   </w:t>
      </w:r>
      <w:r w:rsidR="0054223C">
        <w:rPr>
          <w:sz w:val="24"/>
          <w:szCs w:val="24"/>
        </w:rPr>
        <w:t>In a recent work, Greenberg restated his view in the following terms:  “that legal obligations are those genuine obligations that obtain in virtue of the actions of legal institutions.”</w:t>
      </w:r>
      <w:r w:rsidR="0054223C">
        <w:rPr>
          <w:rStyle w:val="FootnoteReference"/>
          <w:sz w:val="24"/>
          <w:szCs w:val="24"/>
        </w:rPr>
        <w:footnoteReference w:id="38"/>
      </w:r>
      <w:r w:rsidR="0054223C">
        <w:rPr>
          <w:sz w:val="24"/>
          <w:szCs w:val="24"/>
        </w:rPr>
        <w:t xml:space="preserve">  Under this approach, one might</w:t>
      </w:r>
      <w:r w:rsidR="003251A2">
        <w:rPr>
          <w:sz w:val="24"/>
          <w:szCs w:val="24"/>
        </w:rPr>
        <w:t xml:space="preserve"> think of law as being defined on either end of a process:  “law” as being a certain set of officials authorized to take actions in the name of the state over certain sorts of disputes; and “law” as the moral rights and duties that result from those actions.  </w:t>
      </w:r>
    </w:p>
    <w:p w:rsidR="00D45668" w:rsidRDefault="00D45668">
      <w:pPr>
        <w:rPr>
          <w:sz w:val="24"/>
          <w:szCs w:val="24"/>
        </w:rPr>
      </w:pPr>
      <w:r>
        <w:rPr>
          <w:sz w:val="24"/>
          <w:szCs w:val="24"/>
        </w:rPr>
        <w:tab/>
        <w:t>The motivation for Greenberg’s radical theory is well set out in some of his earlier works.  Like Ronald Dworkin – and Greenberg regularly indicates the similarities between Dworkin’s works and his own</w:t>
      </w:r>
      <w:r w:rsidR="00A65F3E">
        <w:rPr>
          <w:rStyle w:val="FootnoteReference"/>
          <w:sz w:val="24"/>
          <w:szCs w:val="24"/>
        </w:rPr>
        <w:footnoteReference w:id="39"/>
      </w:r>
      <w:r>
        <w:rPr>
          <w:sz w:val="24"/>
          <w:szCs w:val="24"/>
        </w:rPr>
        <w:t xml:space="preserve"> – Greenberg is motivated by some basic ways in which general practice and general understanding</w:t>
      </w:r>
      <w:r w:rsidR="00C24A4D">
        <w:rPr>
          <w:sz w:val="24"/>
          <w:szCs w:val="24"/>
        </w:rPr>
        <w:t xml:space="preserve"> of law</w:t>
      </w:r>
      <w:r>
        <w:rPr>
          <w:sz w:val="24"/>
          <w:szCs w:val="24"/>
        </w:rPr>
        <w:t xml:space="preserve"> deviates from the conventional picture both legal philosophers and regular citizens have </w:t>
      </w:r>
      <w:r w:rsidR="00C24A4D">
        <w:rPr>
          <w:sz w:val="24"/>
          <w:szCs w:val="24"/>
        </w:rPr>
        <w:t>of that institution</w:t>
      </w:r>
      <w:r>
        <w:rPr>
          <w:sz w:val="24"/>
          <w:szCs w:val="24"/>
        </w:rPr>
        <w:t xml:space="preserve">.  </w:t>
      </w:r>
      <w:r w:rsidR="00C24A4D">
        <w:rPr>
          <w:sz w:val="24"/>
          <w:szCs w:val="24"/>
        </w:rPr>
        <w:t>That is, the stories we tell about the law – including the stories we tell ourselves about the law – sometimes (perhaps often) deviate, and deviate sharply, from the way we know the practice to work.</w:t>
      </w:r>
    </w:p>
    <w:p w:rsidR="0052028D" w:rsidRPr="0052028D" w:rsidRDefault="002636E7" w:rsidP="0052028D">
      <w:pPr>
        <w:rPr>
          <w:sz w:val="24"/>
          <w:szCs w:val="24"/>
        </w:rPr>
      </w:pPr>
      <w:r>
        <w:rPr>
          <w:sz w:val="24"/>
          <w:szCs w:val="24"/>
        </w:rPr>
        <w:tab/>
        <w:t>For Dworkin, the unsettling facts were (in his description) the deep and pervasive disagreement within and about the law</w:t>
      </w:r>
      <w:r w:rsidR="00A65F3E">
        <w:rPr>
          <w:rStyle w:val="FootnoteReference"/>
          <w:sz w:val="24"/>
          <w:szCs w:val="24"/>
        </w:rPr>
        <w:footnoteReference w:id="40"/>
      </w:r>
      <w:r>
        <w:rPr>
          <w:sz w:val="24"/>
          <w:szCs w:val="24"/>
        </w:rPr>
        <w:t xml:space="preserve"> and the inability of any neutral “pedigree” criteria to capture legal validity without also incorporating judgments of moral value.</w:t>
      </w:r>
      <w:r>
        <w:rPr>
          <w:rStyle w:val="FootnoteReference"/>
          <w:sz w:val="24"/>
          <w:szCs w:val="24"/>
        </w:rPr>
        <w:footnoteReference w:id="41"/>
      </w:r>
      <w:r>
        <w:rPr>
          <w:sz w:val="24"/>
          <w:szCs w:val="24"/>
        </w:rPr>
        <w:t xml:space="preserve">  </w:t>
      </w:r>
      <w:r w:rsidR="00765AFC">
        <w:rPr>
          <w:sz w:val="24"/>
          <w:szCs w:val="24"/>
        </w:rPr>
        <w:t xml:space="preserve">As </w:t>
      </w:r>
      <w:r w:rsidR="00C57F6E">
        <w:rPr>
          <w:sz w:val="24"/>
          <w:szCs w:val="24"/>
        </w:rPr>
        <w:t>Greenberg</w:t>
      </w:r>
      <w:r w:rsidR="00765AFC">
        <w:rPr>
          <w:sz w:val="24"/>
          <w:szCs w:val="24"/>
        </w:rPr>
        <w:t xml:space="preserve"> states, un</w:t>
      </w:r>
      <w:r w:rsidR="0052028D" w:rsidRPr="0052028D">
        <w:rPr>
          <w:sz w:val="24"/>
          <w:szCs w:val="24"/>
        </w:rPr>
        <w:t xml:space="preserve">der the Standard Picture, law is what legal officials produce:  when they enact statutes, promulgate regulations, decide disputes brought to court, etc.  Under this picture, when legislators enact a statute, they directly and straightforwardly add to our law(s).  The assumption is present in conventional ways of referring to the actions of legislators:  </w:t>
      </w:r>
      <w:r w:rsidR="0052028D" w:rsidRPr="0052028D">
        <w:rPr>
          <w:i/>
          <w:sz w:val="24"/>
          <w:szCs w:val="24"/>
        </w:rPr>
        <w:t>e.g.</w:t>
      </w:r>
      <w:r w:rsidR="0052028D" w:rsidRPr="0052028D">
        <w:rPr>
          <w:sz w:val="24"/>
          <w:szCs w:val="24"/>
        </w:rPr>
        <w:t>, “today, Congress passed an important new law,” etc.  At the same time, however, as Greenberg points out, there are problems within this picture.  Lawyers, legal theorists, and law students – and, indeed, all those who have looked seriously at the process of statutory interpretation in actual cases – know that the way statutes add to our law(s) is not in fact as direct or as clear as the Standard Picture presents or assumes.  This is shown, for example, by the way that competent judges and lawyers, acting in good faith, often disagree about the legal effects of a statute (in its application to actual or hypothetical sets of facts), with disagreements frequently occurring at a basic level (</w:t>
      </w:r>
      <w:r w:rsidR="0052028D" w:rsidRPr="0052028D">
        <w:rPr>
          <w:i/>
          <w:sz w:val="24"/>
          <w:szCs w:val="24"/>
        </w:rPr>
        <w:t>e.g.</w:t>
      </w:r>
      <w:r w:rsidR="0052028D" w:rsidRPr="0052028D">
        <w:rPr>
          <w:sz w:val="24"/>
          <w:szCs w:val="24"/>
        </w:rPr>
        <w:t>, should we focus on the plain meaning of the statute’s text or on what the lawmakers intended to do).</w:t>
      </w:r>
      <w:r w:rsidR="0052028D" w:rsidRPr="0052028D">
        <w:rPr>
          <w:sz w:val="24"/>
          <w:szCs w:val="24"/>
          <w:vertAlign w:val="superscript"/>
        </w:rPr>
        <w:footnoteReference w:id="42"/>
      </w:r>
      <w:r w:rsidR="0052028D" w:rsidRPr="0052028D">
        <w:rPr>
          <w:sz w:val="24"/>
          <w:szCs w:val="24"/>
        </w:rPr>
        <w:t xml:space="preserve">  If legislation added to law(s) in a straightforward way, we would not expect disagreement this basic or this frequent.  Additionally, as Greenberg observes, judges who disagree about the interpretation of a statute rarely offer arguments regarding </w:t>
      </w:r>
      <w:r w:rsidR="0052028D" w:rsidRPr="0052028D">
        <w:rPr>
          <w:i/>
          <w:sz w:val="24"/>
          <w:szCs w:val="24"/>
        </w:rPr>
        <w:t>why</w:t>
      </w:r>
      <w:r w:rsidR="0052028D" w:rsidRPr="0052028D">
        <w:rPr>
          <w:sz w:val="24"/>
          <w:szCs w:val="24"/>
        </w:rPr>
        <w:t xml:space="preserve"> some factors are relevant and others are not, or </w:t>
      </w:r>
      <w:r w:rsidR="0052028D" w:rsidRPr="0052028D">
        <w:rPr>
          <w:i/>
          <w:sz w:val="24"/>
          <w:szCs w:val="24"/>
        </w:rPr>
        <w:t>why</w:t>
      </w:r>
      <w:r w:rsidR="0052028D" w:rsidRPr="0052028D">
        <w:rPr>
          <w:sz w:val="24"/>
          <w:szCs w:val="24"/>
        </w:rPr>
        <w:t xml:space="preserve"> some factors should be given greater weight than other (relevant) factors.</w:t>
      </w:r>
      <w:r w:rsidR="0052028D" w:rsidRPr="0052028D">
        <w:rPr>
          <w:sz w:val="24"/>
          <w:szCs w:val="24"/>
          <w:vertAlign w:val="superscript"/>
        </w:rPr>
        <w:footnoteReference w:id="43"/>
      </w:r>
      <w:r w:rsidR="0052028D" w:rsidRPr="0052028D">
        <w:rPr>
          <w:sz w:val="24"/>
          <w:szCs w:val="24"/>
        </w:rPr>
        <w:t xml:space="preserve">  Any such argument, Greenberg asserts, would likely be in terms of why – and when -- the actions of legal officials affect our moral rights and duties.</w:t>
      </w:r>
      <w:r w:rsidR="0052028D" w:rsidRPr="0052028D">
        <w:rPr>
          <w:sz w:val="24"/>
          <w:szCs w:val="24"/>
          <w:vertAlign w:val="superscript"/>
        </w:rPr>
        <w:footnoteReference w:id="44"/>
      </w:r>
      <w:r w:rsidR="0052028D" w:rsidRPr="0052028D">
        <w:rPr>
          <w:sz w:val="24"/>
          <w:szCs w:val="24"/>
        </w:rPr>
        <w:t xml:space="preserve">  In this connection between the action of legislators, the structure of moral analysis, and the ultimate decisions of judges, one sees hints of the alternative picture Greenberg presents, and a possible justification for it.  </w:t>
      </w:r>
    </w:p>
    <w:p w:rsidR="0052028D" w:rsidRDefault="0052028D" w:rsidP="0052028D">
      <w:pPr>
        <w:rPr>
          <w:sz w:val="24"/>
          <w:szCs w:val="24"/>
        </w:rPr>
      </w:pPr>
      <w:r w:rsidRPr="0052028D">
        <w:rPr>
          <w:sz w:val="24"/>
          <w:szCs w:val="24"/>
        </w:rPr>
        <w:tab/>
        <w:t xml:space="preserve">Greenberg’s radical alternative to the Standard Picture is his “Moral Impact Theory of Law.”  What counts as “law” under this approach?  The “Moral Impact Theory” describes the way that the actions of legal officials (lawmakers in passing statutes, judges in deciding case, etc.) affect our existing moral rights, duties, etc., </w:t>
      </w:r>
      <w:r w:rsidRPr="0052028D">
        <w:rPr>
          <w:i/>
          <w:sz w:val="24"/>
          <w:szCs w:val="24"/>
        </w:rPr>
        <w:t xml:space="preserve">and it is those effects that </w:t>
      </w:r>
      <w:r w:rsidRPr="0052028D">
        <w:rPr>
          <w:b/>
          <w:i/>
          <w:sz w:val="24"/>
          <w:szCs w:val="24"/>
        </w:rPr>
        <w:t>are</w:t>
      </w:r>
      <w:r w:rsidRPr="0052028D">
        <w:rPr>
          <w:i/>
          <w:sz w:val="24"/>
          <w:szCs w:val="24"/>
        </w:rPr>
        <w:t xml:space="preserve"> (our) “law.”</w:t>
      </w:r>
      <w:r w:rsidRPr="0052028D">
        <w:rPr>
          <w:sz w:val="24"/>
          <w:szCs w:val="24"/>
        </w:rPr>
        <w:t xml:space="preserve">   Legislators may enact statutes and judges may decide disputes, but, under this approach, we only have “law” once we calculate the moral impact of those official actions on our moral rights and duties (and powers and immunities) – what Greenberg labels our “moral profile.”</w:t>
      </w:r>
      <w:r w:rsidRPr="0052028D">
        <w:rPr>
          <w:sz w:val="24"/>
          <w:szCs w:val="24"/>
          <w:vertAlign w:val="superscript"/>
        </w:rPr>
        <w:footnoteReference w:id="45"/>
      </w:r>
      <w:r w:rsidRPr="0052028D">
        <w:rPr>
          <w:sz w:val="24"/>
          <w:szCs w:val="24"/>
        </w:rPr>
        <w:t xml:space="preserve">  By focusing on the ultimate moral effects of the actions of legal officials, the deep and lasting disagreements about the legal effects of statutes, decisions, and constitutional provisions, become seemingly more explicable (and apparently less problematic).    </w:t>
      </w:r>
    </w:p>
    <w:p w:rsidR="00F505BA" w:rsidRPr="00F505BA" w:rsidRDefault="00F505BA" w:rsidP="0052028D">
      <w:pPr>
        <w:rPr>
          <w:sz w:val="24"/>
          <w:szCs w:val="24"/>
        </w:rPr>
      </w:pPr>
      <w:r>
        <w:rPr>
          <w:sz w:val="24"/>
          <w:szCs w:val="24"/>
        </w:rPr>
        <w:tab/>
        <w:t>As a threshold matter, as Larry Alexander has pointed out, both Greenberg’s theory, and Dworkin’s before him, has seriously circularity concerns.</w:t>
      </w:r>
      <w:r w:rsidR="00960E34" w:rsidRPr="00960E34">
        <w:rPr>
          <w:rStyle w:val="FootnoteReference"/>
          <w:sz w:val="24"/>
          <w:szCs w:val="24"/>
        </w:rPr>
        <w:t xml:space="preserve"> </w:t>
      </w:r>
      <w:r w:rsidR="00960E34">
        <w:rPr>
          <w:rStyle w:val="FootnoteReference"/>
          <w:sz w:val="24"/>
          <w:szCs w:val="24"/>
        </w:rPr>
        <w:footnoteReference w:id="46"/>
      </w:r>
      <w:r>
        <w:rPr>
          <w:sz w:val="24"/>
          <w:szCs w:val="24"/>
        </w:rPr>
        <w:t xml:space="preserve">  For Dworkin, in his interpretativism period, law is the constructive interpretation of “pre-interpretive” data.  For Greenberg, law is </w:t>
      </w:r>
      <w:r w:rsidR="004048F1">
        <w:rPr>
          <w:sz w:val="24"/>
          <w:szCs w:val="24"/>
        </w:rPr>
        <w:t>c</w:t>
      </w:r>
      <w:r>
        <w:rPr>
          <w:sz w:val="24"/>
          <w:szCs w:val="24"/>
        </w:rPr>
        <w:t xml:space="preserve">onstituted by the effects on our moral profiles by the actions of legal officials.  However, if “law” is the product of these processes, how can it also serve as a selection criterion for determining </w:t>
      </w:r>
      <w:r w:rsidRPr="00F505BA">
        <w:rPr>
          <w:i/>
          <w:sz w:val="24"/>
          <w:szCs w:val="24"/>
        </w:rPr>
        <w:t>which</w:t>
      </w:r>
      <w:r>
        <w:rPr>
          <w:sz w:val="24"/>
          <w:szCs w:val="24"/>
        </w:rPr>
        <w:t xml:space="preserve"> actions, texts, etc. are the inputs for which law will be the subsequent </w:t>
      </w:r>
      <w:r>
        <w:rPr>
          <w:i/>
          <w:sz w:val="24"/>
          <w:szCs w:val="24"/>
        </w:rPr>
        <w:t>output</w:t>
      </w:r>
      <w:r>
        <w:rPr>
          <w:sz w:val="24"/>
          <w:szCs w:val="24"/>
        </w:rPr>
        <w:t>.</w:t>
      </w:r>
      <w:r w:rsidR="004048F1">
        <w:rPr>
          <w:sz w:val="24"/>
          <w:szCs w:val="24"/>
        </w:rPr>
        <w:t xml:space="preserve">  Thus, for both Dworkin and Greenberg, law is supposed to define and constrain the inputs into the process, the process that eventually produces what is to be called “law,” but that is not possible if we do not know until the end of the process what is to count as “law.”  </w:t>
      </w:r>
    </w:p>
    <w:p w:rsidR="0052028D" w:rsidRPr="0052028D" w:rsidRDefault="0052028D" w:rsidP="0052028D">
      <w:pPr>
        <w:rPr>
          <w:sz w:val="24"/>
          <w:szCs w:val="24"/>
        </w:rPr>
      </w:pPr>
      <w:r w:rsidRPr="0052028D">
        <w:rPr>
          <w:sz w:val="24"/>
          <w:szCs w:val="24"/>
        </w:rPr>
        <w:tab/>
      </w:r>
      <w:r w:rsidR="00F505BA">
        <w:rPr>
          <w:sz w:val="24"/>
          <w:szCs w:val="24"/>
        </w:rPr>
        <w:t>Also, i</w:t>
      </w:r>
      <w:r w:rsidRPr="0052028D">
        <w:rPr>
          <w:sz w:val="24"/>
          <w:szCs w:val="24"/>
        </w:rPr>
        <w:t>t is important in evaluating Greenberg’s work to distinguish what is new -- and controversial -- from what is not new, and thus likely to be less controversial.</w:t>
      </w:r>
      <w:r w:rsidRPr="0052028D">
        <w:rPr>
          <w:sz w:val="24"/>
          <w:szCs w:val="24"/>
          <w:vertAlign w:val="superscript"/>
        </w:rPr>
        <w:footnoteReference w:id="47"/>
      </w:r>
      <w:r w:rsidRPr="0052028D">
        <w:rPr>
          <w:sz w:val="24"/>
          <w:szCs w:val="24"/>
        </w:rPr>
        <w:t xml:space="preserve">  One theme that is important to Greenberg’s analysis, but which is distinctly </w:t>
      </w:r>
      <w:r w:rsidRPr="0052028D">
        <w:rPr>
          <w:i/>
          <w:sz w:val="24"/>
          <w:szCs w:val="24"/>
        </w:rPr>
        <w:t>not</w:t>
      </w:r>
      <w:r w:rsidRPr="0052028D">
        <w:rPr>
          <w:sz w:val="24"/>
          <w:szCs w:val="24"/>
        </w:rPr>
        <w:t xml:space="preserve"> new, is the argument that the actions of officials can change our moral profile.  This has been accepted by theorists from vastly different perspectives and for almost as long as scholars have been reflecting upon the nature of government and morality.  For example, in Thomas Aquinas’ 13</w:t>
      </w:r>
      <w:r w:rsidRPr="0052028D">
        <w:rPr>
          <w:sz w:val="24"/>
          <w:szCs w:val="24"/>
          <w:vertAlign w:val="superscript"/>
        </w:rPr>
        <w:t>th</w:t>
      </w:r>
      <w:r w:rsidRPr="0052028D">
        <w:rPr>
          <w:sz w:val="24"/>
          <w:szCs w:val="24"/>
        </w:rPr>
        <w:t xml:space="preserve"> century reflection on God, society, morality, and law, the </w:t>
      </w:r>
      <w:r w:rsidRPr="0052028D">
        <w:rPr>
          <w:i/>
          <w:sz w:val="24"/>
          <w:szCs w:val="24"/>
        </w:rPr>
        <w:t>Summa Theologica</w:t>
      </w:r>
      <w:r w:rsidRPr="0052028D">
        <w:rPr>
          <w:sz w:val="24"/>
          <w:szCs w:val="24"/>
        </w:rPr>
        <w:t>, Aquinas argued that human laws that were consistent with the natural law (that is, roughly speaking, with morality and divine revelation), promulgated by officials acting within their authority, and did not impose burdens in an unfair way, “bound in conscience” – that is, they created moral obligations for citizens to obey them.</w:t>
      </w:r>
      <w:r w:rsidRPr="0052028D">
        <w:rPr>
          <w:sz w:val="24"/>
          <w:szCs w:val="24"/>
          <w:vertAlign w:val="superscript"/>
        </w:rPr>
        <w:footnoteReference w:id="48"/>
      </w:r>
      <w:r w:rsidRPr="0052028D">
        <w:rPr>
          <w:sz w:val="24"/>
          <w:szCs w:val="24"/>
        </w:rPr>
        <w:t xml:space="preserve">  Joseph Raz, a contemporary legal positivist who doubts that there is any </w:t>
      </w:r>
      <w:r w:rsidRPr="0052028D">
        <w:rPr>
          <w:i/>
          <w:sz w:val="24"/>
          <w:szCs w:val="24"/>
        </w:rPr>
        <w:t>general</w:t>
      </w:r>
      <w:r w:rsidRPr="0052028D">
        <w:rPr>
          <w:sz w:val="24"/>
          <w:szCs w:val="24"/>
        </w:rPr>
        <w:t xml:space="preserve"> moral obligation to obey the law, points out nonetheless that there are circumstances where individuals would have moral obligations to obey </w:t>
      </w:r>
      <w:r w:rsidRPr="0052028D">
        <w:rPr>
          <w:i/>
          <w:sz w:val="24"/>
          <w:szCs w:val="24"/>
        </w:rPr>
        <w:t>particular</w:t>
      </w:r>
      <w:r w:rsidRPr="0052028D">
        <w:rPr>
          <w:sz w:val="24"/>
          <w:szCs w:val="24"/>
        </w:rPr>
        <w:t xml:space="preserve"> legal rules, if those rules helped to solve coordination problems or if the lawmakers involved had access to greater expertise than the citizens had; additionally, Raz points out, one may have a moral obligation to obey the law if one has promised to do so (as judges and some other state officials may promise as part of their oaths of office).</w:t>
      </w:r>
      <w:r w:rsidRPr="0052028D">
        <w:rPr>
          <w:sz w:val="24"/>
          <w:szCs w:val="24"/>
          <w:vertAlign w:val="superscript"/>
        </w:rPr>
        <w:footnoteReference w:id="49"/>
      </w:r>
      <w:r w:rsidRPr="0052028D">
        <w:rPr>
          <w:sz w:val="24"/>
          <w:szCs w:val="24"/>
        </w:rPr>
        <w:t xml:space="preserve">  Larry Alexander (among others) has discussed the way that legal rules often make more determinate moral obligations we already have:  our moral obligation to support the state and needy citizens is translated into a legal obligation to pay a certain percentage of our income as tax; our moral obligation to drive safely is translated into a specific legal speed limit; and so on.</w:t>
      </w:r>
      <w:r w:rsidRPr="0052028D">
        <w:rPr>
          <w:sz w:val="24"/>
          <w:szCs w:val="24"/>
          <w:vertAlign w:val="superscript"/>
        </w:rPr>
        <w:footnoteReference w:id="50"/>
      </w:r>
      <w:r w:rsidRPr="0052028D">
        <w:rPr>
          <w:sz w:val="24"/>
          <w:szCs w:val="24"/>
        </w:rPr>
        <w:t xml:space="preserve">  In a comparable analysis to that given by Raz and Alexander, David Enoch has recently argued that in some circumstances legal norms, in combination with relevant facts, can “trigger” existing moral obligations that we have.</w:t>
      </w:r>
      <w:r w:rsidRPr="0052028D">
        <w:rPr>
          <w:sz w:val="24"/>
          <w:szCs w:val="24"/>
          <w:vertAlign w:val="superscript"/>
        </w:rPr>
        <w:footnoteReference w:id="51"/>
      </w:r>
      <w:r w:rsidRPr="0052028D">
        <w:rPr>
          <w:sz w:val="24"/>
          <w:szCs w:val="24"/>
        </w:rPr>
        <w:t xml:space="preserve"> </w:t>
      </w:r>
    </w:p>
    <w:p w:rsidR="0052028D" w:rsidRPr="0052028D" w:rsidRDefault="0052028D" w:rsidP="0052028D">
      <w:pPr>
        <w:rPr>
          <w:sz w:val="24"/>
          <w:szCs w:val="24"/>
        </w:rPr>
      </w:pPr>
      <w:r w:rsidRPr="0052028D">
        <w:rPr>
          <w:sz w:val="24"/>
          <w:szCs w:val="24"/>
        </w:rPr>
        <w:tab/>
        <w:t>Greenberg covers similar ground, in a concise and persuasive way, but under a different rubric.</w:t>
      </w:r>
      <w:r w:rsidRPr="0052028D">
        <w:rPr>
          <w:sz w:val="24"/>
          <w:szCs w:val="24"/>
          <w:vertAlign w:val="superscript"/>
        </w:rPr>
        <w:footnoteReference w:id="52"/>
      </w:r>
      <w:r w:rsidRPr="0052028D">
        <w:rPr>
          <w:sz w:val="24"/>
          <w:szCs w:val="24"/>
        </w:rPr>
        <w:t xml:space="preserve">  Instead of its being characterized as a summary of how legal rules change our moral profile, or the circumstances under which we have a moral obligation to obey the law,</w:t>
      </w:r>
      <w:r w:rsidRPr="0052028D">
        <w:rPr>
          <w:sz w:val="24"/>
          <w:szCs w:val="24"/>
          <w:vertAlign w:val="superscript"/>
        </w:rPr>
        <w:footnoteReference w:id="53"/>
      </w:r>
      <w:r w:rsidRPr="0052028D">
        <w:rPr>
          <w:sz w:val="24"/>
          <w:szCs w:val="24"/>
        </w:rPr>
        <w:t xml:space="preserve"> for Greenberg the relevant category is when the actions of officials </w:t>
      </w:r>
      <w:r w:rsidRPr="0052028D">
        <w:rPr>
          <w:i/>
          <w:sz w:val="24"/>
          <w:szCs w:val="24"/>
        </w:rPr>
        <w:t>have created “law.”</w:t>
      </w:r>
      <w:r w:rsidRPr="0052028D">
        <w:rPr>
          <w:sz w:val="24"/>
          <w:szCs w:val="24"/>
        </w:rPr>
        <w:t xml:space="preserve">  He writes:  “the content of the law is that part of the moral profile that obtains in virtue of certain actions of legal institutions.”</w:t>
      </w:r>
      <w:r w:rsidRPr="0052028D">
        <w:rPr>
          <w:sz w:val="24"/>
          <w:szCs w:val="24"/>
          <w:vertAlign w:val="superscript"/>
        </w:rPr>
        <w:footnoteReference w:id="54"/>
      </w:r>
      <w:r w:rsidRPr="0052028D">
        <w:rPr>
          <w:sz w:val="24"/>
          <w:szCs w:val="24"/>
        </w:rPr>
        <w:t xml:space="preserve">  As already noted, under this approach, statutes, administrative regulations, and constitutional provisions do not directly or automatically qualify as “law”; their content is “</w:t>
      </w:r>
      <w:r w:rsidRPr="0052028D">
        <w:rPr>
          <w:i/>
          <w:sz w:val="24"/>
          <w:szCs w:val="24"/>
        </w:rPr>
        <w:t>legal</w:t>
      </w:r>
      <w:r w:rsidRPr="0052028D">
        <w:rPr>
          <w:sz w:val="24"/>
          <w:szCs w:val="24"/>
        </w:rPr>
        <w:t xml:space="preserve"> content” only to the extent that they alter our moral profile. </w:t>
      </w:r>
    </w:p>
    <w:p w:rsidR="0052028D" w:rsidRPr="0052028D" w:rsidRDefault="0052028D" w:rsidP="0052028D">
      <w:pPr>
        <w:rPr>
          <w:sz w:val="24"/>
          <w:szCs w:val="24"/>
        </w:rPr>
      </w:pPr>
      <w:r w:rsidRPr="0052028D">
        <w:rPr>
          <w:sz w:val="24"/>
          <w:szCs w:val="24"/>
        </w:rPr>
        <w:tab/>
        <w:t xml:space="preserve">As Greenberg well recognizes, this way of thinking, and this way of using the label “law,” differs sharply, not merely from the views of legal theorists caught up with “the Standard Picture,” but also from the way of speaking of both legal practitioners (lawyers, prosecutors, judges, etc.) and citizens who are not legal practitioners.  This deviation from conventional ways of speaking leads immediately to the question:  Is Greenberg claiming that we have all been </w:t>
      </w:r>
      <w:r w:rsidRPr="0052028D">
        <w:rPr>
          <w:i/>
          <w:sz w:val="24"/>
          <w:szCs w:val="24"/>
        </w:rPr>
        <w:t>mistaken</w:t>
      </w:r>
      <w:r w:rsidRPr="0052028D">
        <w:rPr>
          <w:sz w:val="24"/>
          <w:szCs w:val="24"/>
        </w:rPr>
        <w:t xml:space="preserve"> about the nature of law, and he is correcting a significant and collective error (one that would be both widespread and lasting many centuries)?  Or is his claim different: that if we were to look at our practices more carefully and reflectively, we would see that the Moral Impact Theory more accurately reflects what we have really meant all along when we have spoken about “law”?  I am not sure that Greenberg ever clearly takes either position, but I think that his Moral Impact Theory requires him to defend one or the other.</w:t>
      </w:r>
    </w:p>
    <w:p w:rsidR="0052028D" w:rsidRPr="0052028D" w:rsidRDefault="0052028D" w:rsidP="0052028D">
      <w:pPr>
        <w:rPr>
          <w:sz w:val="24"/>
          <w:szCs w:val="24"/>
        </w:rPr>
      </w:pPr>
      <w:r w:rsidRPr="0052028D">
        <w:rPr>
          <w:sz w:val="24"/>
          <w:szCs w:val="24"/>
        </w:rPr>
        <w:tab/>
        <w:t xml:space="preserve">To be sure, other theorists have made connections between moral effects and what counts as “law.”  There is a view, most prominent within the natural law tradition, </w:t>
      </w:r>
      <w:r w:rsidR="0089533F">
        <w:rPr>
          <w:sz w:val="24"/>
          <w:szCs w:val="24"/>
        </w:rPr>
        <w:t>under which</w:t>
      </w:r>
      <w:r w:rsidRPr="0052028D">
        <w:rPr>
          <w:sz w:val="24"/>
          <w:szCs w:val="24"/>
        </w:rPr>
        <w:t xml:space="preserve"> a rule promulgated by officials might fail to obtain the status of a legal norm if it is </w:t>
      </w:r>
      <w:r w:rsidRPr="0052028D">
        <w:rPr>
          <w:i/>
          <w:sz w:val="24"/>
          <w:szCs w:val="24"/>
        </w:rPr>
        <w:t>too</w:t>
      </w:r>
      <w:r w:rsidRPr="0052028D">
        <w:rPr>
          <w:sz w:val="24"/>
          <w:szCs w:val="24"/>
        </w:rPr>
        <w:t xml:space="preserve"> unjust or immoral.</w:t>
      </w:r>
      <w:r w:rsidRPr="0052028D">
        <w:rPr>
          <w:sz w:val="24"/>
          <w:szCs w:val="24"/>
          <w:vertAlign w:val="superscript"/>
        </w:rPr>
        <w:footnoteReference w:id="55"/>
      </w:r>
      <w:r w:rsidRPr="0052028D">
        <w:rPr>
          <w:sz w:val="24"/>
          <w:szCs w:val="24"/>
        </w:rPr>
        <w:t xml:space="preserve">  At the same time, the idea that one’s legal obligations sometimes diverge from one’s moral obligations is a commonplace of both theoretical and conventional thought.  “The law requires you to do this, but morally </w:t>
      </w:r>
      <w:r w:rsidR="00D911D6">
        <w:rPr>
          <w:sz w:val="24"/>
          <w:szCs w:val="24"/>
        </w:rPr>
        <w:t xml:space="preserve">you </w:t>
      </w:r>
      <w:r w:rsidRPr="0052028D">
        <w:rPr>
          <w:sz w:val="24"/>
          <w:szCs w:val="24"/>
        </w:rPr>
        <w:t>should [or can] disobey,” is neither self-contradictory nor nonsens</w:t>
      </w:r>
      <w:r w:rsidR="00D911D6">
        <w:rPr>
          <w:sz w:val="24"/>
          <w:szCs w:val="24"/>
        </w:rPr>
        <w:t>ical</w:t>
      </w:r>
      <w:r w:rsidRPr="0052028D">
        <w:rPr>
          <w:sz w:val="24"/>
          <w:szCs w:val="24"/>
        </w:rPr>
        <w:t xml:space="preserve">; it has none of the paradox of, </w:t>
      </w:r>
      <w:r w:rsidRPr="0052028D">
        <w:rPr>
          <w:i/>
          <w:sz w:val="24"/>
          <w:szCs w:val="24"/>
        </w:rPr>
        <w:t>e.g.</w:t>
      </w:r>
      <w:r w:rsidRPr="0052028D">
        <w:rPr>
          <w:sz w:val="24"/>
          <w:szCs w:val="24"/>
        </w:rPr>
        <w:t>, “this is true, but I do not believe it.”</w:t>
      </w:r>
    </w:p>
    <w:p w:rsidR="0052028D" w:rsidRDefault="0052028D" w:rsidP="0052028D">
      <w:pPr>
        <w:rPr>
          <w:sz w:val="24"/>
          <w:szCs w:val="24"/>
        </w:rPr>
      </w:pPr>
      <w:r w:rsidRPr="0052028D">
        <w:rPr>
          <w:sz w:val="24"/>
          <w:szCs w:val="24"/>
        </w:rPr>
        <w:tab/>
        <w:t>One might fear that Greenberg’s approach, making law a subset of morality, would have some of the same dangers H. L. A. Hart discerned in certain (more naïve) forms of natural law theory.  Hart’s concern was that those natural law approaches which claimed that an unjust law was not law at all encouraged a confusion between what legal officials had actually done and what was morally legitimate (that is, in conventional terms, confusing “legally valid” with “morally good”).</w:t>
      </w:r>
      <w:r w:rsidRPr="0052028D">
        <w:rPr>
          <w:sz w:val="24"/>
          <w:szCs w:val="24"/>
          <w:vertAlign w:val="superscript"/>
        </w:rPr>
        <w:footnoteReference w:id="56"/>
      </w:r>
      <w:r w:rsidRPr="0052028D">
        <w:rPr>
          <w:sz w:val="24"/>
          <w:szCs w:val="24"/>
        </w:rPr>
        <w:t xml:space="preserve">  Greenberg’s approach offers a comparable equation of “legal content” with “moral duty [or right or power].”  Hart’s basic point still applies, I think:  that it encourages greater clarity to keep separate law and morality, to separate what legal officials have done and what we have a moral duty to do.  Of course, a critic might respond:  there is no point keeping the two separate if they are not in fact separate – for example, if a constitutional provision contains a moral test (e.g., of equality, due process, substantive protection of liberty, etc.) then the acts of legal officials that violate </w:t>
      </w:r>
      <w:r w:rsidRPr="0052028D">
        <w:rPr>
          <w:i/>
          <w:sz w:val="24"/>
          <w:szCs w:val="24"/>
        </w:rPr>
        <w:t>that</w:t>
      </w:r>
      <w:r w:rsidRPr="0052028D">
        <w:rPr>
          <w:sz w:val="24"/>
          <w:szCs w:val="24"/>
        </w:rPr>
        <w:t xml:space="preserve"> moral test in fact are not valid laws, even under conventional understandings of “law and “morality.”  However, Greenberg’s “Moral Impact” theory goes far beyond pointing out the moral content of some constitutional tests for legal validity; it proposes a wholesale change in what we call “law,” a change that Greenberg’s article does not fully justify.</w:t>
      </w:r>
    </w:p>
    <w:p w:rsidR="0089533F" w:rsidRPr="0052028D" w:rsidRDefault="0089533F" w:rsidP="0052028D">
      <w:pPr>
        <w:rPr>
          <w:sz w:val="24"/>
          <w:szCs w:val="24"/>
        </w:rPr>
      </w:pPr>
      <w:r>
        <w:rPr>
          <w:sz w:val="24"/>
          <w:szCs w:val="24"/>
        </w:rPr>
        <w:tab/>
        <w:t xml:space="preserve">One might </w:t>
      </w:r>
      <w:r w:rsidR="00AD7735">
        <w:rPr>
          <w:sz w:val="24"/>
          <w:szCs w:val="24"/>
        </w:rPr>
        <w:t>note the parallels between Greenberg’s approach (and that hinted at in Dworkin’s last works</w:t>
      </w:r>
      <w:r w:rsidR="00AD7735">
        <w:rPr>
          <w:rStyle w:val="FootnoteReference"/>
          <w:sz w:val="24"/>
          <w:szCs w:val="24"/>
        </w:rPr>
        <w:footnoteReference w:id="57"/>
      </w:r>
      <w:r w:rsidR="00AD7735">
        <w:rPr>
          <w:sz w:val="24"/>
          <w:szCs w:val="24"/>
        </w:rPr>
        <w:t xml:space="preserve">) and that propounded by Enoch and Raz and others.  For Enoch and the others, legal rules sporadically – not universally – create moral obligations, but even those legal rules that do not create moral obligations are still legal rules (and here there is also an overlap with John Finnis’s natural law theory).  </w:t>
      </w:r>
      <w:r w:rsidR="0035738E">
        <w:rPr>
          <w:sz w:val="24"/>
          <w:szCs w:val="24"/>
        </w:rPr>
        <w:t xml:space="preserve"> One way of understanding Greenberg and perhaps Dworkin in his last works – but definitely </w:t>
      </w:r>
      <w:r w:rsidR="0035738E">
        <w:rPr>
          <w:i/>
          <w:sz w:val="24"/>
          <w:szCs w:val="24"/>
        </w:rPr>
        <w:t xml:space="preserve">not </w:t>
      </w:r>
      <w:r w:rsidR="0035738E">
        <w:rPr>
          <w:sz w:val="24"/>
          <w:szCs w:val="24"/>
        </w:rPr>
        <w:t xml:space="preserve">Finnis – is that there is law only to the extent that the actions of officials </w:t>
      </w:r>
      <w:r w:rsidR="0035738E">
        <w:rPr>
          <w:i/>
          <w:sz w:val="24"/>
          <w:szCs w:val="24"/>
        </w:rPr>
        <w:t xml:space="preserve">succeeds </w:t>
      </w:r>
      <w:r w:rsidR="0035738E">
        <w:rPr>
          <w:sz w:val="24"/>
          <w:szCs w:val="24"/>
        </w:rPr>
        <w:t xml:space="preserve">in creating new moral obligations. </w:t>
      </w:r>
      <w:r w:rsidR="00000EF7">
        <w:rPr>
          <w:sz w:val="24"/>
          <w:szCs w:val="24"/>
        </w:rPr>
        <w:t xml:space="preserve"> And I am not persuaded that this is a helpful way of viewing our social, moral, and legal life.  </w:t>
      </w:r>
    </w:p>
    <w:p w:rsidR="00070CDE" w:rsidRDefault="0052028D" w:rsidP="0052028D">
      <w:pPr>
        <w:rPr>
          <w:sz w:val="24"/>
          <w:szCs w:val="24"/>
        </w:rPr>
      </w:pPr>
      <w:r w:rsidRPr="0052028D">
        <w:rPr>
          <w:sz w:val="24"/>
          <w:szCs w:val="24"/>
        </w:rPr>
        <w:tab/>
        <w:t xml:space="preserve">Before going forward, I want to note one </w:t>
      </w:r>
      <w:r w:rsidR="00497F3B">
        <w:rPr>
          <w:sz w:val="24"/>
          <w:szCs w:val="24"/>
        </w:rPr>
        <w:t>important</w:t>
      </w:r>
      <w:r w:rsidRPr="0052028D">
        <w:rPr>
          <w:sz w:val="24"/>
          <w:szCs w:val="24"/>
        </w:rPr>
        <w:t xml:space="preserve"> complication for </w:t>
      </w:r>
      <w:r w:rsidR="00497F3B">
        <w:rPr>
          <w:sz w:val="24"/>
          <w:szCs w:val="24"/>
        </w:rPr>
        <w:t xml:space="preserve">the approach one finds in </w:t>
      </w:r>
      <w:r w:rsidRPr="0052028D">
        <w:rPr>
          <w:sz w:val="24"/>
          <w:szCs w:val="24"/>
        </w:rPr>
        <w:t>Greenberg</w:t>
      </w:r>
      <w:r w:rsidR="00497F3B">
        <w:rPr>
          <w:sz w:val="24"/>
          <w:szCs w:val="24"/>
        </w:rPr>
        <w:t xml:space="preserve"> and in Dworkin’s last writings</w:t>
      </w:r>
      <w:r w:rsidRPr="0052028D">
        <w:rPr>
          <w:sz w:val="24"/>
          <w:szCs w:val="24"/>
        </w:rPr>
        <w:t xml:space="preserve">.  </w:t>
      </w:r>
      <w:r w:rsidR="00497F3B">
        <w:rPr>
          <w:sz w:val="24"/>
          <w:szCs w:val="24"/>
        </w:rPr>
        <w:t>As a number of theorists have pointed out</w:t>
      </w:r>
      <w:r w:rsidRPr="0052028D">
        <w:rPr>
          <w:sz w:val="24"/>
          <w:szCs w:val="24"/>
        </w:rPr>
        <w:t xml:space="preserve">, how the actions of legal officials affect “moral profiles” varies from person to person.  By this, I do not refer to the obvious differences across persons:  </w:t>
      </w:r>
      <w:r w:rsidRPr="0052028D">
        <w:rPr>
          <w:i/>
          <w:sz w:val="24"/>
          <w:szCs w:val="24"/>
        </w:rPr>
        <w:t>e.g.</w:t>
      </w:r>
      <w:r w:rsidRPr="0052028D">
        <w:rPr>
          <w:sz w:val="24"/>
          <w:szCs w:val="24"/>
        </w:rPr>
        <w:t xml:space="preserve">, how A’s moral obligations might differ from B’s because A has entered different contracts from B, or how X’s obligations might differ from Y’s because X is a doctor (and has certain physician-specific moral obligations relating to legislative and administrative actions by legal officials) while Y is a lawyer (and has certain lawyer-specific moral obligations based on different actions by those same officials).  Those sorts of differences would not be problematic for Greenberg’s theory.  I am thinking here instead about the argument that sometimes the actions of legal officials affect our “moral profile” because the legal officials have expertise (or access to expertise, as when they are being advised by scientists on some medical or environmental matter).  Whether an individual should defer to the decision of legal officials (as reflected in statutes or administrative regulations) – that is, whether they have moral reasons to act as the officials prescribe -- under this analysis will depend in part on whether the expertise the legal officials had, or had access to, is greater than what the citizen has, or has access to.  Thus, a particular environmental regulation might change </w:t>
      </w:r>
      <w:r w:rsidRPr="0052028D">
        <w:rPr>
          <w:i/>
          <w:sz w:val="24"/>
          <w:szCs w:val="24"/>
        </w:rPr>
        <w:t>my</w:t>
      </w:r>
      <w:r w:rsidRPr="0052028D">
        <w:rPr>
          <w:sz w:val="24"/>
          <w:szCs w:val="24"/>
        </w:rPr>
        <w:t xml:space="preserve"> moral profile, as the legal officials’ expertise is far greater than my own, but it may not similarly affect the moral profile of my cousin, who has advanced training in just this area of environmental science.</w:t>
      </w:r>
      <w:r w:rsidRPr="0052028D">
        <w:rPr>
          <w:sz w:val="24"/>
          <w:szCs w:val="24"/>
          <w:vertAlign w:val="superscript"/>
        </w:rPr>
        <w:footnoteReference w:id="58"/>
      </w:r>
      <w:r w:rsidRPr="0052028D">
        <w:rPr>
          <w:sz w:val="24"/>
          <w:szCs w:val="24"/>
        </w:rPr>
        <w:t xml:space="preserve">  </w:t>
      </w:r>
    </w:p>
    <w:p w:rsidR="00070CDE" w:rsidRDefault="00070CDE" w:rsidP="0052028D">
      <w:pPr>
        <w:rPr>
          <w:sz w:val="24"/>
          <w:szCs w:val="24"/>
        </w:rPr>
      </w:pPr>
      <w:r>
        <w:rPr>
          <w:sz w:val="24"/>
          <w:szCs w:val="24"/>
        </w:rPr>
        <w:tab/>
      </w:r>
      <w:r w:rsidRPr="00070CDE">
        <w:rPr>
          <w:sz w:val="24"/>
          <w:szCs w:val="24"/>
        </w:rPr>
        <w:t>There is a different example of differential moral obligations relating to law:  from Aquinas</w:t>
      </w:r>
      <w:r>
        <w:rPr>
          <w:rStyle w:val="FootnoteReference"/>
          <w:sz w:val="24"/>
          <w:szCs w:val="24"/>
        </w:rPr>
        <w:footnoteReference w:id="59"/>
      </w:r>
      <w:r w:rsidRPr="00070CDE">
        <w:rPr>
          <w:sz w:val="24"/>
          <w:szCs w:val="24"/>
        </w:rPr>
        <w:t xml:space="preserve"> to Rawls</w:t>
      </w:r>
      <w:r>
        <w:rPr>
          <w:rStyle w:val="FootnoteReference"/>
          <w:sz w:val="24"/>
          <w:szCs w:val="24"/>
        </w:rPr>
        <w:footnoteReference w:id="60"/>
      </w:r>
      <w:r w:rsidRPr="00070CDE">
        <w:rPr>
          <w:sz w:val="24"/>
          <w:szCs w:val="24"/>
        </w:rPr>
        <w:t xml:space="preserve"> to Finnis</w:t>
      </w:r>
      <w:r>
        <w:rPr>
          <w:rStyle w:val="FootnoteReference"/>
          <w:sz w:val="24"/>
          <w:szCs w:val="24"/>
        </w:rPr>
        <w:footnoteReference w:id="61"/>
      </w:r>
      <w:r w:rsidRPr="00070CDE">
        <w:rPr>
          <w:sz w:val="24"/>
          <w:szCs w:val="24"/>
        </w:rPr>
        <w:t xml:space="preserve"> and Raz, theorists have asserted (or conceded) that there may be a moral obligation to comply outwardly with the law, even (moderately) unjust law, if disobedience would undermine a generally just legal system.  However, the extent to which public disobedience would undermine the legal system will obviously turn on the status and reputation of the person disobeying:  a highly regarded politician’s disobedience would likely have effects while that of an average citizen would not.  In that sense, the public figure’s moral profile has been changed by the actions of legal institutions</w:t>
      </w:r>
      <w:r w:rsidR="00D911D6">
        <w:rPr>
          <w:sz w:val="24"/>
          <w:szCs w:val="24"/>
        </w:rPr>
        <w:t>,</w:t>
      </w:r>
      <w:r w:rsidRPr="00070CDE">
        <w:rPr>
          <w:sz w:val="24"/>
          <w:szCs w:val="24"/>
        </w:rPr>
        <w:t xml:space="preserve"> in a way that the </w:t>
      </w:r>
      <w:r w:rsidR="00D911D6">
        <w:rPr>
          <w:sz w:val="24"/>
          <w:szCs w:val="24"/>
        </w:rPr>
        <w:t xml:space="preserve">moral profile of the </w:t>
      </w:r>
      <w:r w:rsidRPr="00070CDE">
        <w:rPr>
          <w:sz w:val="24"/>
          <w:szCs w:val="24"/>
        </w:rPr>
        <w:t xml:space="preserve">average citizen has not.  </w:t>
      </w:r>
    </w:p>
    <w:p w:rsidR="0052028D" w:rsidRPr="0052028D" w:rsidRDefault="00070CDE" w:rsidP="0052028D">
      <w:pPr>
        <w:rPr>
          <w:sz w:val="24"/>
          <w:szCs w:val="24"/>
        </w:rPr>
      </w:pPr>
      <w:r>
        <w:rPr>
          <w:sz w:val="24"/>
          <w:szCs w:val="24"/>
        </w:rPr>
        <w:tab/>
      </w:r>
      <w:r w:rsidR="0052028D" w:rsidRPr="0052028D">
        <w:rPr>
          <w:sz w:val="24"/>
          <w:szCs w:val="24"/>
        </w:rPr>
        <w:t>Would Greenberg</w:t>
      </w:r>
      <w:r>
        <w:rPr>
          <w:sz w:val="24"/>
          <w:szCs w:val="24"/>
        </w:rPr>
        <w:t xml:space="preserve"> (or Dworkin)</w:t>
      </w:r>
      <w:r w:rsidR="0052028D" w:rsidRPr="0052028D">
        <w:rPr>
          <w:sz w:val="24"/>
          <w:szCs w:val="24"/>
        </w:rPr>
        <w:t xml:space="preserve"> really want to say that “the law” in this case is different for </w:t>
      </w:r>
      <w:r>
        <w:rPr>
          <w:sz w:val="24"/>
          <w:szCs w:val="24"/>
        </w:rPr>
        <w:t>each person</w:t>
      </w:r>
      <w:r w:rsidR="0052028D" w:rsidRPr="0052028D">
        <w:rPr>
          <w:sz w:val="24"/>
          <w:szCs w:val="24"/>
        </w:rPr>
        <w:t>?</w:t>
      </w:r>
      <w:r w:rsidR="00D911D6">
        <w:rPr>
          <w:sz w:val="24"/>
          <w:szCs w:val="24"/>
        </w:rPr>
        <w:t xml:space="preserve">  </w:t>
      </w:r>
      <w:r w:rsidR="0052028D" w:rsidRPr="0052028D">
        <w:rPr>
          <w:sz w:val="24"/>
          <w:szCs w:val="24"/>
        </w:rPr>
        <w:t xml:space="preserve">In general, the analysis of the moral obligations created by the actions of legal institutions is potentially very intricate, for the reasons Greenberg fully sets out, but then seems to discount:  regarding the effects of a particular statute, one might need to take into account the importance of deferring to democratic </w:t>
      </w:r>
      <w:r w:rsidR="0052028D" w:rsidRPr="00497F3B">
        <w:rPr>
          <w:i/>
          <w:sz w:val="24"/>
          <w:szCs w:val="24"/>
        </w:rPr>
        <w:t>decision</w:t>
      </w:r>
      <w:r w:rsidR="0052028D" w:rsidRPr="0052028D">
        <w:rPr>
          <w:sz w:val="24"/>
          <w:szCs w:val="24"/>
        </w:rPr>
        <w:t>-making (perhaps discounted by the extent to which one believed that the current system distorted or corrupted the popular will), the extent to which the state operates as an effective solution to coordination problems or has, or has access to, greater expertise than the individual in question, the extent to which court decisions may have altered the meaning of the statute contrary to the legislators’ intentions, but taking into account appropriate deference to the courts, etc.  The difficulties and paradoxes Greenberg (and others</w:t>
      </w:r>
      <w:r w:rsidR="0052028D" w:rsidRPr="0052028D">
        <w:rPr>
          <w:sz w:val="24"/>
          <w:szCs w:val="24"/>
          <w:vertAlign w:val="superscript"/>
        </w:rPr>
        <w:footnoteReference w:id="62"/>
      </w:r>
      <w:r w:rsidR="0052028D" w:rsidRPr="0052028D">
        <w:rPr>
          <w:sz w:val="24"/>
          <w:szCs w:val="24"/>
        </w:rPr>
        <w:t xml:space="preserve">) have shown within legal practice and within conventional legal theories are real, and require a response.  However, I think that Greenberg’s proffered response, a radical change in the way we talk and think about law, and exchanging reasoning within legal practice for the equally intricate and more controversial reasoning within and about morality, is not a prescription we should follow. </w:t>
      </w:r>
    </w:p>
    <w:p w:rsidR="00862100" w:rsidRDefault="00862100">
      <w:pPr>
        <w:rPr>
          <w:sz w:val="24"/>
          <w:szCs w:val="24"/>
        </w:rPr>
      </w:pPr>
    </w:p>
    <w:p w:rsidR="005634DD" w:rsidRDefault="00862100">
      <w:pPr>
        <w:rPr>
          <w:sz w:val="24"/>
          <w:szCs w:val="24"/>
        </w:rPr>
      </w:pPr>
      <w:r>
        <w:rPr>
          <w:i/>
          <w:sz w:val="24"/>
          <w:szCs w:val="24"/>
        </w:rPr>
        <w:t xml:space="preserve">Conclusion </w:t>
      </w:r>
    </w:p>
    <w:p w:rsidR="00813C25" w:rsidRDefault="00813C25" w:rsidP="00813C25">
      <w:pPr>
        <w:rPr>
          <w:sz w:val="24"/>
          <w:szCs w:val="24"/>
        </w:rPr>
      </w:pPr>
      <w:r>
        <w:rPr>
          <w:sz w:val="24"/>
          <w:szCs w:val="24"/>
        </w:rPr>
        <w:tab/>
        <w:t xml:space="preserve">Human rights reflect our moral standing as human beings, the claims we have against governments and other people.  Societies that respect human rights are more likely to be prosperous and to be at peace.  </w:t>
      </w:r>
    </w:p>
    <w:p w:rsidR="00813C25" w:rsidRDefault="00813C25" w:rsidP="00813C25">
      <w:pPr>
        <w:rPr>
          <w:sz w:val="24"/>
          <w:szCs w:val="24"/>
        </w:rPr>
      </w:pPr>
      <w:r>
        <w:rPr>
          <w:sz w:val="24"/>
          <w:szCs w:val="24"/>
        </w:rPr>
        <w:tab/>
        <w:t xml:space="preserve">The extent to which human rights are recognized on paper – through legislative commitments, constitutional provisions, treaty obligations, or international conventions – varies greatly from place to place.  And, of course, recognition of a right on paper, we well know, does not guarantee that it will be fully recognized in practice.  Also, as Dworkin pointed out, whether the government officials generally “take rights [against the government] seriously” may be a separate matter, above and beyond the legalistic protection of certain limited rights.  </w:t>
      </w:r>
    </w:p>
    <w:p w:rsidR="00813C25" w:rsidRDefault="00D676C1" w:rsidP="00813C25">
      <w:pPr>
        <w:rPr>
          <w:sz w:val="24"/>
          <w:szCs w:val="24"/>
        </w:rPr>
      </w:pPr>
      <w:r>
        <w:rPr>
          <w:sz w:val="24"/>
          <w:szCs w:val="24"/>
        </w:rPr>
        <w:tab/>
        <w:t xml:space="preserve">All this is crucial for the legal reformer, and for people generally.  For the legal theorists, what in some communities is called the “legal scientist,” there are also questions, perhaps of less moment, to be asked about the status of human rights within legal systems, and, more generally, about the status of legal systems in our normative life.  </w:t>
      </w:r>
    </w:p>
    <w:p w:rsidR="00813C25" w:rsidRDefault="00BD2A9D" w:rsidP="00813C25">
      <w:pPr>
        <w:rPr>
          <w:sz w:val="24"/>
          <w:szCs w:val="24"/>
        </w:rPr>
      </w:pPr>
      <w:r>
        <w:rPr>
          <w:sz w:val="24"/>
          <w:szCs w:val="24"/>
        </w:rPr>
        <w:tab/>
        <w:t xml:space="preserve">We have seen questions raised from all sides – the American and Scandinavian legal realists, the natural law theorists, Hans Kelsen and other legal positivists, Mark Greenberg, Ronald Dworkin, and others – regarding the ultimate nature and reality of law, and how to understand the content of legal propositions.  </w:t>
      </w:r>
    </w:p>
    <w:p w:rsidR="00E83924" w:rsidRPr="00146872" w:rsidRDefault="00E83924" w:rsidP="00813C25">
      <w:pPr>
        <w:rPr>
          <w:sz w:val="24"/>
          <w:szCs w:val="24"/>
        </w:rPr>
      </w:pPr>
      <w:r>
        <w:rPr>
          <w:sz w:val="24"/>
          <w:szCs w:val="24"/>
        </w:rPr>
        <w:tab/>
        <w:t xml:space="preserve">And, of course, there remains vibrant debate about whether, when, and how legal rules and legal systems create obligations for citizens.  I do not today offer the final answer to these questions, just one more voice, one more point of view.  </w:t>
      </w:r>
    </w:p>
    <w:p w:rsidR="00862100" w:rsidRDefault="00862100">
      <w:pPr>
        <w:rPr>
          <w:sz w:val="24"/>
          <w:szCs w:val="24"/>
        </w:rPr>
      </w:pPr>
      <w:r>
        <w:rPr>
          <w:sz w:val="24"/>
          <w:szCs w:val="24"/>
        </w:rPr>
        <w:tab/>
        <w:t xml:space="preserve">With all the controversy and uncertainty at the most basic levels, one might wonder how law operates at all.  Lawyers everywhere may be puzzled when asked to </w:t>
      </w:r>
      <w:r w:rsidR="00F736F0">
        <w:rPr>
          <w:sz w:val="24"/>
          <w:szCs w:val="24"/>
        </w:rPr>
        <w:t xml:space="preserve">give an articulate answer </w:t>
      </w:r>
      <w:r>
        <w:rPr>
          <w:sz w:val="24"/>
          <w:szCs w:val="24"/>
        </w:rPr>
        <w:t>when asked what a legal obligation is or what it entails</w:t>
      </w:r>
      <w:r w:rsidR="00F736F0">
        <w:rPr>
          <w:sz w:val="24"/>
          <w:szCs w:val="24"/>
        </w:rPr>
        <w:t xml:space="preserve">; yet these same workers manage to represent clients, appear in court, and draft legal documents in a way that generally and roughly keep the legal world functioning.  </w:t>
      </w:r>
    </w:p>
    <w:p w:rsidR="00AB239D" w:rsidRPr="00AB239D" w:rsidRDefault="00AB239D">
      <w:pPr>
        <w:rPr>
          <w:sz w:val="24"/>
          <w:szCs w:val="24"/>
        </w:rPr>
      </w:pPr>
    </w:p>
    <w:sectPr w:rsidR="00AB239D" w:rsidRPr="00AB239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4C93" w:rsidRDefault="00494C93" w:rsidP="00D125DC">
      <w:pPr>
        <w:spacing w:line="240" w:lineRule="auto"/>
      </w:pPr>
      <w:r>
        <w:separator/>
      </w:r>
    </w:p>
  </w:endnote>
  <w:endnote w:type="continuationSeparator" w:id="0">
    <w:p w:rsidR="00494C93" w:rsidRDefault="00494C93" w:rsidP="00D125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7102110"/>
      <w:docPartObj>
        <w:docPartGallery w:val="Page Numbers (Bottom of Page)"/>
        <w:docPartUnique/>
      </w:docPartObj>
    </w:sdtPr>
    <w:sdtEndPr>
      <w:rPr>
        <w:noProof/>
      </w:rPr>
    </w:sdtEndPr>
    <w:sdtContent>
      <w:p w:rsidR="000D536C" w:rsidRDefault="000D536C">
        <w:pPr>
          <w:pStyle w:val="Footer"/>
          <w:jc w:val="right"/>
        </w:pPr>
        <w:r>
          <w:fldChar w:fldCharType="begin"/>
        </w:r>
        <w:r>
          <w:instrText xml:space="preserve"> PAGE   \* MERGEFORMAT </w:instrText>
        </w:r>
        <w:r>
          <w:fldChar w:fldCharType="separate"/>
        </w:r>
        <w:r w:rsidR="009E33E9">
          <w:rPr>
            <w:noProof/>
          </w:rPr>
          <w:t>1</w:t>
        </w:r>
        <w:r>
          <w:rPr>
            <w:noProof/>
          </w:rPr>
          <w:fldChar w:fldCharType="end"/>
        </w:r>
      </w:p>
    </w:sdtContent>
  </w:sdt>
  <w:p w:rsidR="00000EF7" w:rsidRDefault="00000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4C93" w:rsidRDefault="00494C93" w:rsidP="00D125DC">
      <w:pPr>
        <w:spacing w:line="240" w:lineRule="auto"/>
      </w:pPr>
      <w:r>
        <w:separator/>
      </w:r>
    </w:p>
  </w:footnote>
  <w:footnote w:type="continuationSeparator" w:id="0">
    <w:p w:rsidR="00494C93" w:rsidRDefault="00494C93" w:rsidP="00D125DC">
      <w:pPr>
        <w:spacing w:line="240" w:lineRule="auto"/>
      </w:pPr>
      <w:r>
        <w:continuationSeparator/>
      </w:r>
    </w:p>
  </w:footnote>
  <w:footnote w:id="1">
    <w:p w:rsidR="00000EF7" w:rsidRPr="00604A67" w:rsidRDefault="00000EF7" w:rsidP="00604A67">
      <w:pPr>
        <w:pStyle w:val="FootnoteText"/>
      </w:pPr>
      <w:r w:rsidRPr="00604A67">
        <w:rPr>
          <w:rStyle w:val="FootnoteReference"/>
        </w:rPr>
        <w:footnoteRef/>
      </w:r>
      <w:r w:rsidRPr="00604A67">
        <w:t xml:space="preserve">  Frederick W. Thomas Professor of Law and Philosophy, University of Minnesota.  </w:t>
      </w:r>
      <w:hyperlink r:id="rId1" w:history="1">
        <w:r w:rsidR="002D067C" w:rsidRPr="00604A67">
          <w:rPr>
            <w:rStyle w:val="Hyperlink"/>
          </w:rPr>
          <w:t>bix@umn.edu</w:t>
        </w:r>
      </w:hyperlink>
      <w:r w:rsidRPr="00604A67">
        <w:t>.</w:t>
      </w:r>
      <w:r w:rsidR="002D067C" w:rsidRPr="00604A67">
        <w:t xml:space="preserve">  </w:t>
      </w:r>
      <w:r w:rsidR="00244703">
        <w:t>This article was first presented as a Plenary Lecture at the 28</w:t>
      </w:r>
      <w:r w:rsidR="00244703" w:rsidRPr="00244703">
        <w:rPr>
          <w:vertAlign w:val="superscript"/>
        </w:rPr>
        <w:t>th</w:t>
      </w:r>
      <w:r w:rsidR="00244703">
        <w:t xml:space="preserve"> World Congress of the International Association for the Philosophy of Law and Social Philosophy (IVR), Lisbon, July 2017.  </w:t>
      </w:r>
      <w:r w:rsidR="002D067C" w:rsidRPr="00604A67">
        <w:t>I am grateful for the comments and suggestions of</w:t>
      </w:r>
      <w:r w:rsidR="00244703">
        <w:t xml:space="preserve"> those attending, and also for the comments and suggestions of</w:t>
      </w:r>
      <w:r w:rsidR="002D067C" w:rsidRPr="00604A67">
        <w:t xml:space="preserve"> Andrew Halpin</w:t>
      </w:r>
      <w:r w:rsidR="00195303" w:rsidRPr="00604A67">
        <w:t xml:space="preserve">, Michael Steven Green, and Kenneth Einar Himma on earlier and related works, </w:t>
      </w:r>
      <w:r w:rsidR="002D067C" w:rsidRPr="00604A67">
        <w:t xml:space="preserve">and for </w:t>
      </w:r>
      <w:r w:rsidR="00244703">
        <w:t>the</w:t>
      </w:r>
      <w:r w:rsidR="002D067C" w:rsidRPr="00604A67">
        <w:t xml:space="preserve"> comments and suggestions </w:t>
      </w:r>
      <w:r w:rsidR="00244703">
        <w:t>offered on</w:t>
      </w:r>
      <w:r w:rsidR="002D067C" w:rsidRPr="00604A67">
        <w:t xml:space="preserve"> related, earlier papers given at National University Singapore, University of Belgrade, </w:t>
      </w:r>
      <w:r w:rsidR="00195303" w:rsidRPr="00604A67">
        <w:t xml:space="preserve">University of Chicago, </w:t>
      </w:r>
      <w:r w:rsidR="002D067C" w:rsidRPr="00604A67">
        <w:t xml:space="preserve">and Jagiellonian University.  </w:t>
      </w:r>
    </w:p>
  </w:footnote>
  <w:footnote w:id="2">
    <w:p w:rsidR="000D536C" w:rsidRPr="00604A67" w:rsidRDefault="000D536C" w:rsidP="00604A67">
      <w:pPr>
        <w:pStyle w:val="FootnoteText"/>
      </w:pPr>
      <w:r w:rsidRPr="00604A67">
        <w:rPr>
          <w:rStyle w:val="FootnoteReference"/>
        </w:rPr>
        <w:footnoteRef/>
      </w:r>
      <w:r w:rsidRPr="00604A67">
        <w:t xml:space="preserve">  The 1936 version of the Soviet Union Constitution is available here:  </w:t>
      </w:r>
      <w:hyperlink r:id="rId2" w:history="1">
        <w:r w:rsidRPr="00604A67">
          <w:rPr>
            <w:rStyle w:val="Hyperlink"/>
          </w:rPr>
          <w:t>http://www.departments.bucknell.edu/russian/const/1936toc.html</w:t>
        </w:r>
      </w:hyperlink>
      <w:r w:rsidRPr="00604A67">
        <w:t>.  Human rights protections are covered in Chapter X (Articles 119-133).</w:t>
      </w:r>
    </w:p>
  </w:footnote>
  <w:footnote w:id="3">
    <w:p w:rsidR="00000EF7" w:rsidRPr="00604A67" w:rsidRDefault="00000EF7" w:rsidP="00604A67">
      <w:pPr>
        <w:pStyle w:val="FootnoteText"/>
      </w:pPr>
      <w:r w:rsidRPr="00604A67">
        <w:rPr>
          <w:rStyle w:val="FootnoteReference"/>
        </w:rPr>
        <w:footnoteRef/>
      </w:r>
      <w:r w:rsidRPr="00604A67">
        <w:t xml:space="preserve">  For a useful overview of these and other topics, see generally James Nickel, “Human Rights” (2014), in Edward N. Zalta (ed.), </w:t>
      </w:r>
      <w:r w:rsidRPr="00604A67">
        <w:rPr>
          <w:i/>
        </w:rPr>
        <w:t>Stanford Encyclopedia of Philosophy</w:t>
      </w:r>
      <w:r w:rsidRPr="00604A67">
        <w:t>, https://plato.stanford.edu/entries/rights-human/.</w:t>
      </w:r>
    </w:p>
  </w:footnote>
  <w:footnote w:id="4">
    <w:p w:rsidR="00960E34" w:rsidRPr="00604A67" w:rsidRDefault="00960E34" w:rsidP="00604A67">
      <w:pPr>
        <w:pStyle w:val="FootnoteText"/>
      </w:pPr>
      <w:r w:rsidRPr="00604A67">
        <w:rPr>
          <w:rStyle w:val="FootnoteReference"/>
        </w:rPr>
        <w:footnoteRef/>
      </w:r>
      <w:r w:rsidRPr="00604A67">
        <w:t xml:space="preserve">  I do offer overviews of all those debates in Brian H. Bix, </w:t>
      </w:r>
      <w:r w:rsidRPr="00604A67">
        <w:rPr>
          <w:i/>
        </w:rPr>
        <w:t xml:space="preserve">Jurisprudence: Theory and Context </w:t>
      </w:r>
      <w:r w:rsidRPr="00604A67">
        <w:t>(7</w:t>
      </w:r>
      <w:r w:rsidRPr="00604A67">
        <w:rPr>
          <w:vertAlign w:val="superscript"/>
        </w:rPr>
        <w:t>th</w:t>
      </w:r>
      <w:r w:rsidRPr="00604A67">
        <w:t xml:space="preserve"> ed., Sweet &amp; Maxwell: 2015).</w:t>
      </w:r>
    </w:p>
  </w:footnote>
  <w:footnote w:id="5">
    <w:p w:rsidR="00000EF7" w:rsidRPr="00604A67" w:rsidRDefault="00000EF7" w:rsidP="00604A67">
      <w:pPr>
        <w:pStyle w:val="FootnoteText"/>
      </w:pPr>
      <w:r w:rsidRPr="00604A67">
        <w:rPr>
          <w:rStyle w:val="FootnoteReference"/>
        </w:rPr>
        <w:footnoteRef/>
      </w:r>
      <w:r w:rsidRPr="00604A67">
        <w:t xml:space="preserve">  Whether some or all of these rights extend to other animals is a question left for another time. </w:t>
      </w:r>
    </w:p>
  </w:footnote>
  <w:footnote w:id="6">
    <w:p w:rsidR="00244703" w:rsidRPr="00244703" w:rsidRDefault="00244703">
      <w:pPr>
        <w:pStyle w:val="FootnoteText"/>
      </w:pPr>
      <w:r>
        <w:rPr>
          <w:rStyle w:val="FootnoteReference"/>
        </w:rPr>
        <w:footnoteRef/>
      </w:r>
      <w:r>
        <w:t xml:space="preserve">  </w:t>
      </w:r>
      <w:r>
        <w:rPr>
          <w:i/>
        </w:rPr>
        <w:t>See, e.g.</w:t>
      </w:r>
      <w:r>
        <w:t xml:space="preserve">, Mathias Risse, “Approaching Human Rights Law Philosophically:  Reflections on Allen Buchanan, </w:t>
      </w:r>
      <w:r>
        <w:rPr>
          <w:i/>
        </w:rPr>
        <w:t>The Heart of Human Rights</w:t>
      </w:r>
      <w:r>
        <w:t xml:space="preserve">,” </w:t>
      </w:r>
      <w:r>
        <w:rPr>
          <w:i/>
        </w:rPr>
        <w:t>Law and Philosophy</w:t>
      </w:r>
      <w:r>
        <w:t>, vol. 36, pp. 169-190 (2017).</w:t>
      </w:r>
    </w:p>
  </w:footnote>
  <w:footnote w:id="7">
    <w:p w:rsidR="00000EF7" w:rsidRPr="00604A67" w:rsidRDefault="00000EF7" w:rsidP="00604A67">
      <w:pPr>
        <w:pStyle w:val="FootnoteText"/>
      </w:pPr>
      <w:r w:rsidRPr="00604A67">
        <w:rPr>
          <w:rStyle w:val="FootnoteReference"/>
        </w:rPr>
        <w:footnoteRef/>
      </w:r>
      <w:r w:rsidRPr="00604A67">
        <w:t xml:space="preserve">  Of course, there are also potential problems and drawbacks with the domestic and international enforcement of (human) rights.  </w:t>
      </w:r>
      <w:r w:rsidRPr="00604A67">
        <w:rPr>
          <w:i/>
        </w:rPr>
        <w:t>See, e.g.</w:t>
      </w:r>
      <w:r w:rsidRPr="00604A67">
        <w:t xml:space="preserve">, Stephen Hopgood, </w:t>
      </w:r>
      <w:r w:rsidRPr="00604A67">
        <w:rPr>
          <w:i/>
        </w:rPr>
        <w:t xml:space="preserve">The Endtimes of Human Rights </w:t>
      </w:r>
      <w:r w:rsidRPr="00604A67">
        <w:t xml:space="preserve">(Cornell, 2013); </w:t>
      </w:r>
      <w:r w:rsidRPr="00604A67">
        <w:rPr>
          <w:i/>
        </w:rPr>
        <w:t xml:space="preserve">cf. </w:t>
      </w:r>
      <w:r w:rsidRPr="00604A67">
        <w:t xml:space="preserve">Mary Ann Glendon, </w:t>
      </w:r>
      <w:r w:rsidRPr="00604A67">
        <w:rPr>
          <w:i/>
        </w:rPr>
        <w:t xml:space="preserve">Rights Talk:  The Impoverishment of Political Discourse </w:t>
      </w:r>
      <w:r w:rsidRPr="00604A67">
        <w:t>(Free Press, 1991).</w:t>
      </w:r>
    </w:p>
  </w:footnote>
  <w:footnote w:id="8">
    <w:p w:rsidR="00000EF7" w:rsidRPr="00604A67" w:rsidRDefault="00000EF7" w:rsidP="00604A67">
      <w:pPr>
        <w:pStyle w:val="FootnoteText"/>
      </w:pPr>
      <w:r w:rsidRPr="00604A67">
        <w:rPr>
          <w:rStyle w:val="FootnoteReference"/>
        </w:rPr>
        <w:footnoteRef/>
      </w:r>
      <w:r w:rsidRPr="00604A67">
        <w:t xml:space="preserve">  Amartya Sen, </w:t>
      </w:r>
      <w:r w:rsidRPr="00604A67">
        <w:rPr>
          <w:i/>
        </w:rPr>
        <w:t xml:space="preserve">Development as Freedom </w:t>
      </w:r>
      <w:r w:rsidRPr="00604A67">
        <w:t>(Anchor, 1999), pp. 178-186.  Cf. Frances D’Souza, “Democracy as a Cure for Famine,” Journal of Peace Research, Vol. 31, No. 4 (Nov., 1994), pp. 369-373.</w:t>
      </w:r>
    </w:p>
  </w:footnote>
  <w:footnote w:id="9">
    <w:p w:rsidR="00000EF7" w:rsidRPr="00604A67" w:rsidRDefault="00000EF7" w:rsidP="00604A67">
      <w:pPr>
        <w:pStyle w:val="FootnoteText"/>
      </w:pPr>
      <w:r w:rsidRPr="00604A67">
        <w:rPr>
          <w:rStyle w:val="FootnoteReference"/>
        </w:rPr>
        <w:footnoteRef/>
      </w:r>
      <w:r w:rsidRPr="00604A67">
        <w:t xml:space="preserve">  Sen, </w:t>
      </w:r>
      <w:r w:rsidRPr="00604A67">
        <w:rPr>
          <w:i/>
        </w:rPr>
        <w:t>Development as Freedom</w:t>
      </w:r>
      <w:r w:rsidRPr="00604A67">
        <w:t>, p. 178.</w:t>
      </w:r>
    </w:p>
  </w:footnote>
  <w:footnote w:id="10">
    <w:p w:rsidR="00000EF7" w:rsidRPr="00604A67" w:rsidRDefault="00000EF7" w:rsidP="00604A67">
      <w:pPr>
        <w:pStyle w:val="FootnoteText"/>
      </w:pPr>
      <w:r w:rsidRPr="00604A67">
        <w:rPr>
          <w:rStyle w:val="FootnoteReference"/>
        </w:rPr>
        <w:footnoteRef/>
      </w:r>
      <w:r w:rsidRPr="00604A67">
        <w:t xml:space="preserve">  </w:t>
      </w:r>
      <w:r w:rsidRPr="00604A67">
        <w:rPr>
          <w:i/>
        </w:rPr>
        <w:t>Id.</w:t>
      </w:r>
      <w:r w:rsidRPr="00604A67">
        <w:t>, pp. 180-184.</w:t>
      </w:r>
    </w:p>
  </w:footnote>
  <w:footnote w:id="11">
    <w:p w:rsidR="00000EF7" w:rsidRPr="00604A67" w:rsidRDefault="00000EF7" w:rsidP="00604A67">
      <w:pPr>
        <w:pStyle w:val="FootnoteText"/>
      </w:pPr>
      <w:r w:rsidRPr="00604A67">
        <w:rPr>
          <w:rStyle w:val="FootnoteReference"/>
        </w:rPr>
        <w:footnoteRef/>
      </w:r>
      <w:r w:rsidRPr="00604A67">
        <w:t xml:space="preserve">  </w:t>
      </w:r>
      <w:r w:rsidRPr="00604A67">
        <w:rPr>
          <w:i/>
        </w:rPr>
        <w:t>See, e.g.</w:t>
      </w:r>
      <w:r w:rsidRPr="00604A67">
        <w:t xml:space="preserve">, Alex Minz &amp; Nehemia Geva, “Why Don’t Democracies Fight Each Other?:  An Experimental Study,” </w:t>
      </w:r>
      <w:r w:rsidRPr="00604A67">
        <w:rPr>
          <w:i/>
        </w:rPr>
        <w:t>The Journal of Conflict Resolution</w:t>
      </w:r>
      <w:r w:rsidRPr="00604A67">
        <w:t>, vol. 37, pp. 484-503 (1993).</w:t>
      </w:r>
    </w:p>
  </w:footnote>
  <w:footnote w:id="12">
    <w:p w:rsidR="00000EF7" w:rsidRPr="00604A67" w:rsidRDefault="00000EF7" w:rsidP="00604A67">
      <w:pPr>
        <w:pStyle w:val="FootnoteText"/>
      </w:pPr>
      <w:r w:rsidRPr="00604A67">
        <w:rPr>
          <w:rStyle w:val="FootnoteReference"/>
        </w:rPr>
        <w:footnoteRef/>
      </w:r>
      <w:r w:rsidRPr="00604A67">
        <w:t xml:space="preserve">  Immanuel Kant, </w:t>
      </w:r>
      <w:r w:rsidRPr="00604A67">
        <w:rPr>
          <w:i/>
        </w:rPr>
        <w:t xml:space="preserve">Perpetual Peace:  A Philosophical Essay </w:t>
      </w:r>
      <w:r w:rsidRPr="00604A67">
        <w:t>(1795), available at https://www.mtholyoke.edu/acad/intrel/kant/kant1.htm.</w:t>
      </w:r>
    </w:p>
  </w:footnote>
  <w:footnote w:id="13">
    <w:p w:rsidR="00000EF7" w:rsidRPr="004E028E" w:rsidRDefault="00000EF7" w:rsidP="00604A67">
      <w:pPr>
        <w:pStyle w:val="FootnoteText"/>
      </w:pPr>
      <w:r w:rsidRPr="00604A67">
        <w:rPr>
          <w:rStyle w:val="FootnoteReference"/>
        </w:rPr>
        <w:footnoteRef/>
      </w:r>
      <w:r w:rsidRPr="00604A67">
        <w:t xml:space="preserve">  Ronald Dworkin, </w:t>
      </w:r>
      <w:r w:rsidRPr="00604A67">
        <w:rPr>
          <w:i/>
        </w:rPr>
        <w:t xml:space="preserve">Taking Rights Seriously </w:t>
      </w:r>
      <w:r w:rsidRPr="00604A67">
        <w:t>184-205 (Harvard, 1978)</w:t>
      </w:r>
      <w:r w:rsidR="00244703">
        <w:t xml:space="preserve">; </w:t>
      </w:r>
      <w:r w:rsidR="00244703">
        <w:rPr>
          <w:i/>
        </w:rPr>
        <w:t xml:space="preserve">cf. </w:t>
      </w:r>
      <w:r w:rsidR="00244703">
        <w:t>Frank I. Michelman, “Human Rights and the Limits of Cons</w:t>
      </w:r>
      <w:r w:rsidR="004E028E">
        <w:t xml:space="preserve">titutional Theory,” </w:t>
      </w:r>
      <w:r w:rsidR="004E028E">
        <w:rPr>
          <w:i/>
        </w:rPr>
        <w:t>Ratio Juris</w:t>
      </w:r>
      <w:r w:rsidR="004E028E">
        <w:t>, vol. 13, pp. 63-76 (2000).</w:t>
      </w:r>
    </w:p>
  </w:footnote>
  <w:footnote w:id="14">
    <w:p w:rsidR="00000EF7" w:rsidRPr="00604A67" w:rsidRDefault="00000EF7" w:rsidP="00604A67">
      <w:pPr>
        <w:pStyle w:val="FootnoteText"/>
      </w:pPr>
      <w:r w:rsidRPr="00604A67">
        <w:rPr>
          <w:rStyle w:val="FootnoteReference"/>
        </w:rPr>
        <w:footnoteRef/>
      </w:r>
      <w:r w:rsidRPr="00604A67">
        <w:t xml:space="preserve">  </w:t>
      </w:r>
      <w:r w:rsidRPr="00604A67">
        <w:rPr>
          <w:i/>
        </w:rPr>
        <w:t>See, e.g.</w:t>
      </w:r>
      <w:r w:rsidRPr="00604A67">
        <w:t xml:space="preserve">, Peter Calvocoressi, </w:t>
      </w:r>
      <w:r w:rsidRPr="00604A67">
        <w:rPr>
          <w:i/>
        </w:rPr>
        <w:t>Nuremberg: The Facts, the Law and the Consequences</w:t>
      </w:r>
      <w:r w:rsidRPr="00604A67">
        <w:t xml:space="preserve"> (London: Chatto &amp; Windus,</w:t>
      </w:r>
      <w:r w:rsidR="00836FDF" w:rsidRPr="00604A67">
        <w:t xml:space="preserve"> </w:t>
      </w:r>
      <w:r w:rsidRPr="00604A67">
        <w:t>1947).</w:t>
      </w:r>
    </w:p>
  </w:footnote>
  <w:footnote w:id="15">
    <w:p w:rsidR="00000EF7" w:rsidRPr="00604A67" w:rsidRDefault="00000EF7" w:rsidP="00604A67">
      <w:pPr>
        <w:pStyle w:val="FootnoteText"/>
      </w:pPr>
      <w:r w:rsidRPr="00604A67">
        <w:rPr>
          <w:rStyle w:val="FootnoteReference"/>
        </w:rPr>
        <w:footnoteRef/>
      </w:r>
      <w:r w:rsidRPr="00604A67">
        <w:t xml:space="preserve">  John Finnis, “Natural Law Theories” (2015), § 3.1, in Edward N. Zalta (ed.), </w:t>
      </w:r>
      <w:r w:rsidRPr="00604A67">
        <w:rPr>
          <w:i/>
        </w:rPr>
        <w:t>Stanford Encyclopedia of Philosophy</w:t>
      </w:r>
      <w:r w:rsidRPr="00604A67">
        <w:t>, http://plato.stanford.edu/entries/natural-law-theories/.</w:t>
      </w:r>
    </w:p>
  </w:footnote>
  <w:footnote w:id="16">
    <w:p w:rsidR="004E5C93" w:rsidRPr="00604A67" w:rsidRDefault="004E5C93" w:rsidP="00604A67">
      <w:pPr>
        <w:pStyle w:val="FootnoteText"/>
      </w:pPr>
      <w:r w:rsidRPr="00604A67">
        <w:rPr>
          <w:rStyle w:val="FootnoteReference"/>
        </w:rPr>
        <w:footnoteRef/>
      </w:r>
      <w:r w:rsidRPr="00604A67">
        <w:t xml:space="preserve">  </w:t>
      </w:r>
      <w:r w:rsidRPr="00604A67">
        <w:rPr>
          <w:i/>
        </w:rPr>
        <w:t>See, e.g.</w:t>
      </w:r>
      <w:r w:rsidRPr="00604A67">
        <w:t xml:space="preserve">, Oliver W. Holmes, Jr., “The Path of the Law,” </w:t>
      </w:r>
      <w:r w:rsidRPr="00604A67">
        <w:rPr>
          <w:i/>
        </w:rPr>
        <w:t>Harvard Law Review</w:t>
      </w:r>
      <w:r w:rsidRPr="00604A67">
        <w:t xml:space="preserve">, vol. 10, pp. 457-478 (1897); Karl Llewellyn, “A Realistic Jurisprudence - The Next Step,” </w:t>
      </w:r>
      <w:r w:rsidRPr="00604A67">
        <w:rPr>
          <w:i/>
        </w:rPr>
        <w:t>Columbia Law Review</w:t>
      </w:r>
      <w:r w:rsidRPr="00604A67">
        <w:t>, vol. 30, pp. 431-465 (1930).</w:t>
      </w:r>
    </w:p>
  </w:footnote>
  <w:footnote w:id="17">
    <w:p w:rsidR="00437D94" w:rsidRPr="00604A67" w:rsidRDefault="00437D94" w:rsidP="00604A67">
      <w:pPr>
        <w:pStyle w:val="FootnoteText"/>
      </w:pPr>
      <w:r w:rsidRPr="00604A67">
        <w:rPr>
          <w:rStyle w:val="FootnoteReference"/>
        </w:rPr>
        <w:footnoteRef/>
      </w:r>
      <w:r w:rsidRPr="00604A67">
        <w:t xml:space="preserve">  </w:t>
      </w:r>
      <w:r w:rsidRPr="00604A67">
        <w:rPr>
          <w:i/>
        </w:rPr>
        <w:t>See, e.g.</w:t>
      </w:r>
      <w:r w:rsidRPr="00604A67">
        <w:t>, Gustav Radbruch, “Statutory Lawlessness and Supra-Statutory Law” (trans. Bonnie Litschewski</w:t>
      </w:r>
    </w:p>
    <w:p w:rsidR="00437D94" w:rsidRPr="00604A67" w:rsidRDefault="00437D94" w:rsidP="00604A67">
      <w:pPr>
        <w:pStyle w:val="FootnoteText"/>
      </w:pPr>
      <w:r w:rsidRPr="00604A67">
        <w:t xml:space="preserve">Paulson &amp; Stanley L. Paulson), </w:t>
      </w:r>
      <w:r w:rsidRPr="00604A67">
        <w:rPr>
          <w:i/>
        </w:rPr>
        <w:t>Oxford Journal of Legal Studies</w:t>
      </w:r>
      <w:r w:rsidR="004E5C93" w:rsidRPr="00604A67">
        <w:t xml:space="preserve">, vol. 26, pp. </w:t>
      </w:r>
      <w:r w:rsidRPr="00604A67">
        <w:t>1-11 (2006).</w:t>
      </w:r>
    </w:p>
  </w:footnote>
  <w:footnote w:id="18">
    <w:p w:rsidR="00604A67" w:rsidRPr="00604A67" w:rsidRDefault="00604A67" w:rsidP="00604A67">
      <w:pPr>
        <w:pStyle w:val="FootnoteText"/>
      </w:pPr>
      <w:r w:rsidRPr="00604A67">
        <w:rPr>
          <w:rStyle w:val="FootnoteReference"/>
        </w:rPr>
        <w:footnoteRef/>
      </w:r>
      <w:r w:rsidRPr="00604A67">
        <w:t xml:space="preserve">  See David Hume, </w:t>
      </w:r>
      <w:r w:rsidRPr="00604A67">
        <w:rPr>
          <w:i/>
        </w:rPr>
        <w:t>A Treatise of Human Nature</w:t>
      </w:r>
      <w:r w:rsidRPr="00604A67">
        <w:t xml:space="preserve"> (analytical index by L. A. Selby-Bigge; 2nd ed., with text revised and notes by P. H. Nidditch, Oxford: Clarendon Press, 1978), Section 3.1.1, pp. 469-470.</w:t>
      </w:r>
    </w:p>
  </w:footnote>
  <w:footnote w:id="19">
    <w:p w:rsidR="00000EF7" w:rsidRPr="00604A67" w:rsidRDefault="00000EF7" w:rsidP="00604A67">
      <w:pPr>
        <w:pStyle w:val="FootnoteText"/>
      </w:pPr>
      <w:r w:rsidRPr="00604A67">
        <w:rPr>
          <w:rStyle w:val="FootnoteReference"/>
        </w:rPr>
        <w:footnoteRef/>
      </w:r>
      <w:r w:rsidRPr="00604A67">
        <w:t xml:space="preserve">  </w:t>
      </w:r>
      <w:r w:rsidRPr="00604A67">
        <w:rPr>
          <w:i/>
        </w:rPr>
        <w:t>See, e.g.</w:t>
      </w:r>
      <w:r w:rsidRPr="00604A67">
        <w:t xml:space="preserve">, Hans Kelsen, </w:t>
      </w:r>
      <w:r w:rsidRPr="00604A67">
        <w:rPr>
          <w:i/>
        </w:rPr>
        <w:t>The Pure Theory of Law</w:t>
      </w:r>
      <w:r w:rsidRPr="00604A67">
        <w:t xml:space="preserve"> (Max Knight, trans. University of California, 1967), pp. 221-236; Hans Kelsen, </w:t>
      </w:r>
      <w:r w:rsidRPr="00604A67">
        <w:rPr>
          <w:i/>
        </w:rPr>
        <w:t>Introduction to the Problems of Legal Theory</w:t>
      </w:r>
      <w:r w:rsidRPr="00604A67">
        <w:t xml:space="preserve"> (Bonnie Litschewski Paulson &amp; Stanley L. P</w:t>
      </w:r>
      <w:r w:rsidR="00195303" w:rsidRPr="00604A67">
        <w:t>a</w:t>
      </w:r>
      <w:r w:rsidRPr="00604A67">
        <w:t>ulson, trans., Oxford, 1992), pp. 55-75.</w:t>
      </w:r>
    </w:p>
  </w:footnote>
  <w:footnote w:id="20">
    <w:p w:rsidR="00000EF7" w:rsidRPr="00604A67" w:rsidRDefault="00000EF7" w:rsidP="00604A67">
      <w:pPr>
        <w:pStyle w:val="FootnoteText"/>
      </w:pPr>
      <w:r w:rsidRPr="00604A67">
        <w:rPr>
          <w:rStyle w:val="FootnoteReference"/>
        </w:rPr>
        <w:footnoteRef/>
      </w:r>
      <w:r w:rsidR="00433B91" w:rsidRPr="00604A67">
        <w:t xml:space="preserve"> </w:t>
      </w:r>
      <w:r w:rsidR="00433B91" w:rsidRPr="00604A67">
        <w:rPr>
          <w:i/>
        </w:rPr>
        <w:t>See, e.g.</w:t>
      </w:r>
      <w:r w:rsidR="00433B91" w:rsidRPr="00604A67">
        <w:t>,</w:t>
      </w:r>
      <w:r w:rsidRPr="00604A67">
        <w:t xml:space="preserve"> Kelsen</w:t>
      </w:r>
      <w:r w:rsidR="00433B91" w:rsidRPr="00604A67">
        <w:t xml:space="preserve">, </w:t>
      </w:r>
      <w:r w:rsidR="00433B91" w:rsidRPr="00604A67">
        <w:rPr>
          <w:i/>
        </w:rPr>
        <w:t>Introduction to the Problems of Legal Theory</w:t>
      </w:r>
      <w:r w:rsidR="00433B91" w:rsidRPr="00604A67">
        <w:t>, §16, at 36.</w:t>
      </w:r>
    </w:p>
  </w:footnote>
  <w:footnote w:id="21">
    <w:p w:rsidR="00000EF7" w:rsidRPr="00604A67" w:rsidRDefault="00000EF7" w:rsidP="00604A67">
      <w:pPr>
        <w:pStyle w:val="FootnoteText"/>
      </w:pPr>
      <w:r w:rsidRPr="00604A67">
        <w:rPr>
          <w:rStyle w:val="FootnoteReference"/>
        </w:rPr>
        <w:footnoteRef/>
      </w:r>
      <w:r w:rsidRPr="00604A67">
        <w:t xml:space="preserve"> Hans Kelsen, </w:t>
      </w:r>
      <w:r w:rsidRPr="00604A67">
        <w:rPr>
          <w:i/>
        </w:rPr>
        <w:t xml:space="preserve">What is Justice? </w:t>
      </w:r>
      <w:r w:rsidRPr="00604A67">
        <w:t xml:space="preserve">(University of California, 1957), pp. 226-227.   See also Han Kelsen, “What is the Pure Theory of Law,” </w:t>
      </w:r>
      <w:r w:rsidRPr="00604A67">
        <w:rPr>
          <w:i/>
        </w:rPr>
        <w:t>Tulane Law Review</w:t>
      </w:r>
      <w:r w:rsidRPr="00604A67">
        <w:t xml:space="preserve">, vol. 34, pp. 269-276, at p. 276:  </w:t>
      </w:r>
    </w:p>
    <w:p w:rsidR="00000EF7" w:rsidRPr="00604A67" w:rsidRDefault="00000EF7" w:rsidP="00604A67">
      <w:pPr>
        <w:pStyle w:val="FootnoteText"/>
      </w:pPr>
      <w:r w:rsidRPr="00604A67">
        <w:tab/>
        <w:t xml:space="preserve">This presupposition [of the basic norm] is possible but not necessary. … Thus, the Pure Theory of Law, by </w:t>
      </w:r>
    </w:p>
    <w:p w:rsidR="00000EF7" w:rsidRPr="00604A67" w:rsidRDefault="00000EF7" w:rsidP="00604A67">
      <w:pPr>
        <w:pStyle w:val="FootnoteText"/>
      </w:pPr>
      <w:r w:rsidRPr="00604A67">
        <w:tab/>
        <w:t xml:space="preserve">ascertaining the basic norm as the logical condition under which a coercive order may be interpreted as </w:t>
      </w:r>
    </w:p>
    <w:p w:rsidR="00000EF7" w:rsidRPr="00604A67" w:rsidRDefault="00000EF7" w:rsidP="00604A67">
      <w:pPr>
        <w:pStyle w:val="FootnoteText"/>
      </w:pPr>
      <w:r w:rsidRPr="00604A67">
        <w:tab/>
        <w:t>valid law, furnishes only a conditional, not a categorical, foundation of the validity of positive law.</w:t>
      </w:r>
    </w:p>
  </w:footnote>
  <w:footnote w:id="22">
    <w:p w:rsidR="00000EF7" w:rsidRPr="00604A67" w:rsidRDefault="00000EF7" w:rsidP="00604A67">
      <w:pPr>
        <w:pStyle w:val="FootnoteText"/>
      </w:pPr>
      <w:r w:rsidRPr="00604A67">
        <w:rPr>
          <w:rStyle w:val="FootnoteReference"/>
        </w:rPr>
        <w:footnoteRef/>
      </w:r>
      <w:r w:rsidRPr="00604A67">
        <w:t xml:space="preserve">  This is Oliver Wendell Holmes’ famous “bad man view of the law.”  See Oliver Wendell Holmes, “The Path of the Law,” </w:t>
      </w:r>
      <w:r w:rsidRPr="00604A67">
        <w:rPr>
          <w:i/>
        </w:rPr>
        <w:t>Harvard Law Review</w:t>
      </w:r>
      <w:r w:rsidRPr="00604A67">
        <w:t>, vol. 10, pp. 457-478, at 460-461.</w:t>
      </w:r>
    </w:p>
  </w:footnote>
  <w:footnote w:id="23">
    <w:p w:rsidR="00000EF7" w:rsidRPr="00604A67" w:rsidRDefault="00000EF7" w:rsidP="00604A67">
      <w:pPr>
        <w:pStyle w:val="FootnoteText"/>
      </w:pPr>
      <w:r w:rsidRPr="00604A67">
        <w:rPr>
          <w:rStyle w:val="FootnoteReference"/>
        </w:rPr>
        <w:footnoteRef/>
      </w:r>
      <w:r w:rsidRPr="00604A67">
        <w:t xml:space="preserve">  Mark C. Murphy, </w:t>
      </w:r>
      <w:r w:rsidRPr="00604A67">
        <w:rPr>
          <w:i/>
        </w:rPr>
        <w:t>An Essay on Divine Authority</w:t>
      </w:r>
      <w:r w:rsidRPr="00604A67">
        <w:t xml:space="preserve"> (Cornell, 2002), p. 152:  “Those who are under divine authority … are those who have submitted to that authority.” </w:t>
      </w:r>
    </w:p>
  </w:footnote>
  <w:footnote w:id="24">
    <w:p w:rsidR="00000EF7" w:rsidRPr="00604A67" w:rsidRDefault="00000EF7" w:rsidP="00604A67">
      <w:pPr>
        <w:pStyle w:val="FootnoteText"/>
      </w:pPr>
      <w:r w:rsidRPr="00604A67">
        <w:rPr>
          <w:rStyle w:val="FootnoteReference"/>
        </w:rPr>
        <w:footnoteRef/>
      </w:r>
      <w:r w:rsidRPr="00604A67">
        <w:t xml:space="preserve">  </w:t>
      </w:r>
      <w:r w:rsidRPr="00604A67">
        <w:rPr>
          <w:i/>
        </w:rPr>
        <w:t>See, e.g.</w:t>
      </w:r>
      <w:r w:rsidRPr="00604A67">
        <w:t xml:space="preserve">, H. L. A. Hart, </w:t>
      </w:r>
      <w:r w:rsidRPr="00604A67">
        <w:rPr>
          <w:i/>
        </w:rPr>
        <w:t xml:space="preserve">Essays on Bentham </w:t>
      </w:r>
      <w:r w:rsidRPr="00604A67">
        <w:t xml:space="preserve">(Oxford 1982), pp. 262-268; cf. John Finnis, “On Hart’s Way Out,” in </w:t>
      </w:r>
      <w:r w:rsidRPr="00604A67">
        <w:rPr>
          <w:i/>
        </w:rPr>
        <w:t xml:space="preserve">Philosophy of Law:  Collected Essays, Volume IV </w:t>
      </w:r>
      <w:r w:rsidRPr="00604A67">
        <w:t>(Oxford, 2011), pp. 248-256.</w:t>
      </w:r>
    </w:p>
  </w:footnote>
  <w:footnote w:id="25">
    <w:p w:rsidR="00000EF7" w:rsidRPr="00604A67" w:rsidRDefault="00000EF7" w:rsidP="00604A67">
      <w:pPr>
        <w:pStyle w:val="FootnoteText"/>
      </w:pPr>
      <w:r w:rsidRPr="00604A67">
        <w:rPr>
          <w:rStyle w:val="FootnoteReference"/>
        </w:rPr>
        <w:footnoteRef/>
      </w:r>
      <w:r w:rsidRPr="00604A67">
        <w:t xml:space="preserve">  Hart, </w:t>
      </w:r>
      <w:r w:rsidRPr="00604A67">
        <w:rPr>
          <w:i/>
        </w:rPr>
        <w:t>Essays on Bentham</w:t>
      </w:r>
      <w:r w:rsidRPr="00604A67">
        <w:t>, p. 263.</w:t>
      </w:r>
    </w:p>
  </w:footnote>
  <w:footnote w:id="26">
    <w:p w:rsidR="00000EF7" w:rsidRPr="00604A67" w:rsidRDefault="00000EF7" w:rsidP="00604A67">
      <w:pPr>
        <w:pStyle w:val="FootnoteText"/>
      </w:pPr>
      <w:r w:rsidRPr="00604A67">
        <w:rPr>
          <w:rStyle w:val="FootnoteReference"/>
        </w:rPr>
        <w:footnoteRef/>
      </w:r>
      <w:r w:rsidRPr="00604A67">
        <w:t xml:space="preserve">  Hart, </w:t>
      </w:r>
      <w:r w:rsidRPr="00604A67">
        <w:rPr>
          <w:i/>
        </w:rPr>
        <w:t>Essays on Bentham</w:t>
      </w:r>
      <w:r w:rsidRPr="00604A67">
        <w:t>, pp. 264-265.</w:t>
      </w:r>
    </w:p>
  </w:footnote>
  <w:footnote w:id="27">
    <w:p w:rsidR="00B74C15" w:rsidRPr="00604A67" w:rsidRDefault="00B74C15" w:rsidP="00604A67">
      <w:pPr>
        <w:pStyle w:val="FootnoteText"/>
      </w:pPr>
      <w:r w:rsidRPr="00604A67">
        <w:rPr>
          <w:rStyle w:val="FootnoteReference"/>
        </w:rPr>
        <w:footnoteRef/>
      </w:r>
      <w:r w:rsidRPr="00604A67">
        <w:t xml:space="preserve">  The question of the nature of legal obligation is clearly a part, though only a small part, of the “general jurisprudence, as a branch of metanormative inquiry.”  David Plunkett &amp; Scott Shapiro, “Law, Morality, and Everything Else:  General Jurisprudence as a Branch of Metanormative Inquiry,” </w:t>
      </w:r>
      <w:r w:rsidRPr="00604A67">
        <w:rPr>
          <w:i/>
        </w:rPr>
        <w:t xml:space="preserve">Ethics </w:t>
      </w:r>
      <w:r w:rsidRPr="00604A67">
        <w:t xml:space="preserve">(forthcoming).  </w:t>
      </w:r>
    </w:p>
  </w:footnote>
  <w:footnote w:id="28">
    <w:p w:rsidR="00000EF7" w:rsidRPr="00604A67" w:rsidRDefault="00000EF7" w:rsidP="00604A67">
      <w:pPr>
        <w:pStyle w:val="FootnoteText"/>
      </w:pPr>
      <w:r w:rsidRPr="00604A67">
        <w:rPr>
          <w:rStyle w:val="FootnoteReference"/>
        </w:rPr>
        <w:footnoteRef/>
      </w:r>
      <w:r w:rsidRPr="00604A67">
        <w:t xml:space="preserve">  John Finnis, “Reflections and Responses, 554-556.</w:t>
      </w:r>
    </w:p>
  </w:footnote>
  <w:footnote w:id="29">
    <w:p w:rsidR="00000EF7" w:rsidRPr="00604A67" w:rsidRDefault="00000EF7" w:rsidP="00604A67">
      <w:pPr>
        <w:pStyle w:val="FootnoteText"/>
      </w:pPr>
      <w:r w:rsidRPr="00604A67">
        <w:rPr>
          <w:rStyle w:val="FootnoteReference"/>
        </w:rPr>
        <w:footnoteRef/>
      </w:r>
      <w:r w:rsidRPr="00604A67">
        <w:t xml:space="preserve">  Oxford, 2014.  </w:t>
      </w:r>
    </w:p>
  </w:footnote>
  <w:footnote w:id="30">
    <w:p w:rsidR="00000EF7" w:rsidRPr="00604A67" w:rsidRDefault="00000EF7" w:rsidP="00604A67">
      <w:pPr>
        <w:pStyle w:val="FootnoteText"/>
      </w:pPr>
      <w:r w:rsidRPr="00604A67">
        <w:rPr>
          <w:rStyle w:val="FootnoteReference"/>
        </w:rPr>
        <w:footnoteRef/>
      </w:r>
      <w:r w:rsidRPr="00604A67">
        <w:t xml:space="preserve">  See Ronald Dworkin, </w:t>
      </w:r>
      <w:r w:rsidRPr="00604A67">
        <w:rPr>
          <w:i/>
        </w:rPr>
        <w:t xml:space="preserve">Justice for Hedgehogs </w:t>
      </w:r>
      <w:r w:rsidRPr="00604A67">
        <w:t xml:space="preserve">(Harvard, 2011), pp. 5, 405; Ronald Dworkin, </w:t>
      </w:r>
      <w:r w:rsidRPr="00604A67">
        <w:rPr>
          <w:i/>
        </w:rPr>
        <w:t xml:space="preserve">Justice in Robes </w:t>
      </w:r>
      <w:r w:rsidRPr="00604A67">
        <w:t>(Harvard, 2006), pp. 34-35; cf. Jeremy Waldron, “Jurisprudence for Hedgehogs” (2013), available at https://law.yale.edu/system/files/documents/pdf/Intellectual_Life/LTW-Waldron.pdf.</w:t>
      </w:r>
    </w:p>
  </w:footnote>
  <w:footnote w:id="31">
    <w:p w:rsidR="00000EF7" w:rsidRPr="00604A67" w:rsidRDefault="00000EF7" w:rsidP="00604A67">
      <w:pPr>
        <w:pStyle w:val="FootnoteText"/>
      </w:pPr>
      <w:r w:rsidRPr="00604A67">
        <w:rPr>
          <w:rStyle w:val="FootnoteReference"/>
        </w:rPr>
        <w:footnoteRef/>
      </w:r>
      <w:r w:rsidRPr="00604A67">
        <w:t xml:space="preserve">  </w:t>
      </w:r>
      <w:r w:rsidRPr="00604A67">
        <w:rPr>
          <w:i/>
        </w:rPr>
        <w:t>E.g.</w:t>
      </w:r>
      <w:r w:rsidRPr="00604A67">
        <w:t xml:space="preserve">, M. B. E. Smith, “Is There a Prima Facie Obligation to Obey the Law?,” </w:t>
      </w:r>
      <w:r w:rsidRPr="00604A67">
        <w:rPr>
          <w:i/>
        </w:rPr>
        <w:t>Yale Law Journal</w:t>
      </w:r>
      <w:r w:rsidRPr="00604A67">
        <w:t xml:space="preserve">, vol. 82, pp. 950-976 (1973), Joseph Raz, </w:t>
      </w:r>
      <w:r w:rsidRPr="00604A67">
        <w:rPr>
          <w:i/>
        </w:rPr>
        <w:t>Ethics in the Public Domain</w:t>
      </w:r>
      <w:r w:rsidRPr="00604A67">
        <w:t xml:space="preserve"> (Oxford, 1994), pp. 325-338, William A. Edmundson, “State of the Art:  The Duty to Obey the Law,” </w:t>
      </w:r>
      <w:r w:rsidRPr="00604A67">
        <w:rPr>
          <w:i/>
        </w:rPr>
        <w:t>Legal Theory</w:t>
      </w:r>
      <w:r w:rsidRPr="00604A67">
        <w:t xml:space="preserve">, vol. 10, pp. 215-259 (2004); Ruth C. A. Higgins, </w:t>
      </w:r>
      <w:r w:rsidRPr="00604A67">
        <w:rPr>
          <w:i/>
        </w:rPr>
        <w:t>The Moral Limits of Law:  Obedience, Respect, and Legitimacy</w:t>
      </w:r>
      <w:r w:rsidRPr="00604A67">
        <w:t xml:space="preserve"> (Oxford, 2004).</w:t>
      </w:r>
    </w:p>
    <w:p w:rsidR="006612B3" w:rsidRPr="00604A67" w:rsidRDefault="006612B3" w:rsidP="00604A67">
      <w:pPr>
        <w:pStyle w:val="FootnoteText"/>
      </w:pPr>
      <w:r w:rsidRPr="00604A67">
        <w:tab/>
        <w:t xml:space="preserve">Kenneth Ehrenberg has recently argued that an obligation to obey can arise from the collective acceptance of an institution.  See Kenneth Ehrenberg, “Law’s Artifactual Nature:  How Legal Institutions Generate Normativity,” in George Pavlakos &amp; Veronica Rodriguez-Blanco (eds.), </w:t>
      </w:r>
      <w:r w:rsidRPr="00604A67">
        <w:rPr>
          <w:i/>
        </w:rPr>
        <w:t xml:space="preserve">Reasons and Intentions in Law and Practical Agency </w:t>
      </w:r>
      <w:r w:rsidRPr="00604A67">
        <w:t xml:space="preserve">(Cambridge, 2015), pp. 247-266.  While I would agree that acceptance of an institution by a sufficient portion of the population affected by it goes to the legitimacy (morality) of its exercising coercive power over that population, I do not think that it is conclusive as to individuals’ obligations to obey.  (I thus agree with Raz, </w:t>
      </w:r>
      <w:r w:rsidRPr="00604A67">
        <w:rPr>
          <w:i/>
        </w:rPr>
        <w:t>supra</w:t>
      </w:r>
      <w:r w:rsidRPr="00604A67">
        <w:t>, and Smith</w:t>
      </w:r>
      <w:r w:rsidRPr="00604A67">
        <w:rPr>
          <w:i/>
        </w:rPr>
        <w:t>, supra</w:t>
      </w:r>
      <w:r w:rsidRPr="00604A67">
        <w:t>, that we should reject the classical equation of legitimacy to rule with moral obligation to obey.)</w:t>
      </w:r>
    </w:p>
  </w:footnote>
  <w:footnote w:id="32">
    <w:p w:rsidR="00000EF7" w:rsidRPr="00604A67" w:rsidRDefault="00000EF7" w:rsidP="00604A67">
      <w:pPr>
        <w:pStyle w:val="FootnoteText"/>
      </w:pPr>
      <w:r w:rsidRPr="00604A67">
        <w:rPr>
          <w:rStyle w:val="FootnoteReference"/>
        </w:rPr>
        <w:footnoteRef/>
      </w:r>
      <w:r w:rsidRPr="00604A67">
        <w:t xml:space="preserve">  Raz </w:t>
      </w:r>
      <w:r w:rsidRPr="00604A67">
        <w:rPr>
          <w:i/>
        </w:rPr>
        <w:t>Ethics in the Public Domain</w:t>
      </w:r>
      <w:r w:rsidRPr="00604A67">
        <w:t xml:space="preserve">, pp. 325-338; David Enoch, “Reason-Giving and the Law,” in Leslie Green &amp; Brian Leiter (eds.), Oxford Studies in Philosophy of Law, vol. I (Oxford, 2011), </w:t>
      </w:r>
      <w:r w:rsidRPr="00604A67">
        <w:tab/>
        <w:t>pp. 1-38.</w:t>
      </w:r>
    </w:p>
  </w:footnote>
  <w:footnote w:id="33">
    <w:p w:rsidR="00000EF7" w:rsidRPr="00604A67" w:rsidRDefault="00000EF7" w:rsidP="00604A67">
      <w:pPr>
        <w:pStyle w:val="FootnoteText"/>
      </w:pPr>
      <w:r w:rsidRPr="00604A67">
        <w:rPr>
          <w:rStyle w:val="FootnoteReference"/>
        </w:rPr>
        <w:footnoteRef/>
      </w:r>
      <w:r w:rsidRPr="00604A67">
        <w:t xml:space="preserve">  Frederick Schauer, “Positivism Through Thick and Thin,” in Brian Bix (ed.), </w:t>
      </w:r>
      <w:r w:rsidRPr="00604A67">
        <w:tab/>
      </w:r>
      <w:r w:rsidRPr="00604A67">
        <w:rPr>
          <w:i/>
        </w:rPr>
        <w:t>Analyzing Law; New Essays in Legal Theory</w:t>
      </w:r>
      <w:r w:rsidRPr="00604A67">
        <w:t xml:space="preserve"> (Oxford, 1998), pp. 65-78.</w:t>
      </w:r>
    </w:p>
  </w:footnote>
  <w:footnote w:id="34">
    <w:p w:rsidR="00000EF7" w:rsidRPr="00604A67" w:rsidRDefault="00000EF7" w:rsidP="00604A67">
      <w:pPr>
        <w:pStyle w:val="FootnoteText"/>
      </w:pPr>
      <w:r w:rsidRPr="00604A67">
        <w:rPr>
          <w:rStyle w:val="FootnoteReference"/>
        </w:rPr>
        <w:footnoteRef/>
      </w:r>
      <w:r w:rsidRPr="00604A67">
        <w:t xml:space="preserve">  John Finnis, “Reflections and Responses,” in John Keown &amp; Robert P. George (eds.), Reason, Morality, and Law:  The Philosophy of John Finnis (Oxford, 2013), pp. 553-556.</w:t>
      </w:r>
    </w:p>
  </w:footnote>
  <w:footnote w:id="35">
    <w:p w:rsidR="00000EF7" w:rsidRPr="00604A67" w:rsidRDefault="00000EF7" w:rsidP="00604A67">
      <w:pPr>
        <w:pStyle w:val="FootnoteText"/>
      </w:pPr>
      <w:r w:rsidRPr="00604A67">
        <w:rPr>
          <w:rStyle w:val="FootnoteReference"/>
        </w:rPr>
        <w:footnoteRef/>
      </w:r>
      <w:r w:rsidRPr="00604A67">
        <w:t xml:space="preserve">  Id., 555.</w:t>
      </w:r>
    </w:p>
  </w:footnote>
  <w:footnote w:id="36">
    <w:p w:rsidR="00000EF7" w:rsidRPr="00604A67" w:rsidRDefault="00000EF7" w:rsidP="00604A67">
      <w:pPr>
        <w:pStyle w:val="FootnoteText"/>
      </w:pPr>
      <w:r w:rsidRPr="00604A67">
        <w:rPr>
          <w:rStyle w:val="FootnoteReference"/>
        </w:rPr>
        <w:footnoteRef/>
      </w:r>
      <w:r w:rsidRPr="00604A67">
        <w:t xml:space="preserve">  Mark Greenberg, “The Moral Impact Theory of Law,” </w:t>
      </w:r>
      <w:r w:rsidRPr="00604A67">
        <w:rPr>
          <w:i/>
        </w:rPr>
        <w:t>Yale Law Journal</w:t>
      </w:r>
      <w:r w:rsidRPr="00604A67">
        <w:t xml:space="preserve">, vol. 123, pp. 1288-1342 (2014). </w:t>
      </w:r>
      <w:r w:rsidR="00F91830" w:rsidRPr="00604A67">
        <w:t xml:space="preserve"> A similar view is offered in Scot Hershovitz, “The End of Jurisprudence,” </w:t>
      </w:r>
      <w:r w:rsidR="00F91830" w:rsidRPr="00604A67">
        <w:rPr>
          <w:i/>
        </w:rPr>
        <w:t>Yale Law Journal</w:t>
      </w:r>
      <w:r w:rsidR="00F91830" w:rsidRPr="00604A67">
        <w:t xml:space="preserve">, vol. 124, pp. 1160-1204 (2015).  </w:t>
      </w:r>
    </w:p>
  </w:footnote>
  <w:footnote w:id="37">
    <w:p w:rsidR="00000EF7" w:rsidRPr="00604A67" w:rsidRDefault="00000EF7" w:rsidP="00604A67">
      <w:pPr>
        <w:pStyle w:val="FootnoteText"/>
      </w:pPr>
      <w:r w:rsidRPr="00604A67">
        <w:rPr>
          <w:rStyle w:val="FootnoteReference"/>
        </w:rPr>
        <w:footnoteRef/>
      </w:r>
      <w:r w:rsidRPr="00604A67">
        <w:t xml:space="preserve">  </w:t>
      </w:r>
      <w:r w:rsidRPr="00604A67">
        <w:rPr>
          <w:i/>
        </w:rPr>
        <w:t>Id.</w:t>
      </w:r>
      <w:r w:rsidRPr="00604A67">
        <w:t xml:space="preserve"> at 1290 (citation omitted).  </w:t>
      </w:r>
    </w:p>
  </w:footnote>
  <w:footnote w:id="38">
    <w:p w:rsidR="0054223C" w:rsidRPr="00604A67" w:rsidRDefault="0054223C" w:rsidP="00604A67">
      <w:pPr>
        <w:pStyle w:val="FootnoteText"/>
      </w:pPr>
      <w:r w:rsidRPr="00604A67">
        <w:rPr>
          <w:rStyle w:val="FootnoteReference"/>
        </w:rPr>
        <w:footnoteRef/>
      </w:r>
      <w:r w:rsidRPr="00604A67">
        <w:t xml:space="preserve">  Mark Greenberg, “The Moral Impact Theory, the Dependence View and Natural Law,” in George Duke &amp; Robert P. George (eds.), </w:t>
      </w:r>
      <w:r w:rsidRPr="00604A67">
        <w:rPr>
          <w:i/>
        </w:rPr>
        <w:t xml:space="preserve">The Cambridge Companion to Natural Law Jurisprudence </w:t>
      </w:r>
      <w:r w:rsidRPr="00604A67">
        <w:t>(Cambridge, 2017), pp. 275-313, at 275.</w:t>
      </w:r>
    </w:p>
  </w:footnote>
  <w:footnote w:id="39">
    <w:p w:rsidR="00000EF7" w:rsidRPr="00604A67" w:rsidRDefault="00000EF7" w:rsidP="00604A67">
      <w:pPr>
        <w:pStyle w:val="FootnoteText"/>
      </w:pPr>
      <w:r w:rsidRPr="00604A67">
        <w:rPr>
          <w:rStyle w:val="FootnoteReference"/>
        </w:rPr>
        <w:footnoteRef/>
      </w:r>
      <w:r w:rsidRPr="00604A67">
        <w:t xml:space="preserve">  </w:t>
      </w:r>
      <w:r w:rsidRPr="00604A67">
        <w:rPr>
          <w:i/>
        </w:rPr>
        <w:t>See, e.g.</w:t>
      </w:r>
      <w:r w:rsidRPr="00604A67">
        <w:t xml:space="preserve">, Mark Greenberg, “The Standard Picture and its Discontents,” in Leslie Green &amp; Brian Leiter (eds.), </w:t>
      </w:r>
      <w:r w:rsidRPr="00604A67">
        <w:rPr>
          <w:i/>
        </w:rPr>
        <w:t>Oxford Studies in Philosophy of Law</w:t>
      </w:r>
      <w:r w:rsidR="00497F3B" w:rsidRPr="00604A67">
        <w:rPr>
          <w:i/>
        </w:rPr>
        <w:t>, Volume 1</w:t>
      </w:r>
      <w:r w:rsidRPr="00604A67">
        <w:t xml:space="preserve"> (Oxford, 2011), pp. 39-106, at 55-60. </w:t>
      </w:r>
    </w:p>
  </w:footnote>
  <w:footnote w:id="40">
    <w:p w:rsidR="00000EF7" w:rsidRPr="00604A67" w:rsidRDefault="00000EF7" w:rsidP="00604A67">
      <w:pPr>
        <w:pStyle w:val="FootnoteText"/>
      </w:pPr>
      <w:r w:rsidRPr="00604A67">
        <w:rPr>
          <w:rStyle w:val="FootnoteReference"/>
        </w:rPr>
        <w:footnoteRef/>
      </w:r>
      <w:r w:rsidRPr="00604A67">
        <w:t xml:space="preserve">  </w:t>
      </w:r>
      <w:r w:rsidRPr="00604A67">
        <w:rPr>
          <w:i/>
        </w:rPr>
        <w:t>See, e.g.</w:t>
      </w:r>
      <w:r w:rsidRPr="00604A67">
        <w:t xml:space="preserve">, Dworkin, </w:t>
      </w:r>
      <w:r w:rsidRPr="00604A67">
        <w:rPr>
          <w:i/>
        </w:rPr>
        <w:t xml:space="preserve">Law’s Empire </w:t>
      </w:r>
      <w:r w:rsidRPr="00604A67">
        <w:t>3-15.</w:t>
      </w:r>
    </w:p>
  </w:footnote>
  <w:footnote w:id="41">
    <w:p w:rsidR="00000EF7" w:rsidRPr="00604A67" w:rsidRDefault="00000EF7" w:rsidP="00604A67">
      <w:pPr>
        <w:pStyle w:val="FootnoteText"/>
      </w:pPr>
      <w:r w:rsidRPr="00604A67">
        <w:rPr>
          <w:rStyle w:val="FootnoteReference"/>
        </w:rPr>
        <w:footnoteRef/>
      </w:r>
      <w:r w:rsidRPr="00604A67">
        <w:t xml:space="preserve">  </w:t>
      </w:r>
      <w:r w:rsidRPr="00604A67">
        <w:rPr>
          <w:i/>
        </w:rPr>
        <w:t>See, e.g.</w:t>
      </w:r>
      <w:r w:rsidRPr="00604A67">
        <w:t xml:space="preserve">, Dworkin, </w:t>
      </w:r>
      <w:r w:rsidRPr="00604A67">
        <w:rPr>
          <w:i/>
        </w:rPr>
        <w:t>Taking Rights Seriously</w:t>
      </w:r>
      <w:r w:rsidRPr="00604A67">
        <w:t xml:space="preserve"> 14-80. </w:t>
      </w:r>
    </w:p>
  </w:footnote>
  <w:footnote w:id="42">
    <w:p w:rsidR="00000EF7" w:rsidRPr="00604A67" w:rsidRDefault="00000EF7" w:rsidP="00604A67">
      <w:pPr>
        <w:pStyle w:val="FootnoteText"/>
      </w:pPr>
      <w:r w:rsidRPr="00604A67">
        <w:rPr>
          <w:rStyle w:val="FootnoteReference"/>
        </w:rPr>
        <w:footnoteRef/>
      </w:r>
      <w:r w:rsidRPr="00604A67">
        <w:t xml:space="preserve">  </w:t>
      </w:r>
      <w:r w:rsidRPr="00604A67">
        <w:rPr>
          <w:i/>
        </w:rPr>
        <w:t xml:space="preserve">See </w:t>
      </w:r>
      <w:r w:rsidRPr="00604A67">
        <w:t>Greenberg, “The Moral Impact Theory of Law,” 1291-93.</w:t>
      </w:r>
    </w:p>
  </w:footnote>
  <w:footnote w:id="43">
    <w:p w:rsidR="00000EF7" w:rsidRPr="00604A67" w:rsidRDefault="00000EF7" w:rsidP="00604A67">
      <w:pPr>
        <w:pStyle w:val="FootnoteText"/>
      </w:pPr>
      <w:r w:rsidRPr="00604A67">
        <w:rPr>
          <w:rStyle w:val="FootnoteReference"/>
        </w:rPr>
        <w:footnoteRef/>
      </w:r>
      <w:r w:rsidRPr="00604A67">
        <w:t xml:space="preserve">   </w:t>
      </w:r>
      <w:r w:rsidRPr="00604A67">
        <w:rPr>
          <w:i/>
        </w:rPr>
        <w:t>Id.</w:t>
      </w:r>
      <w:r w:rsidRPr="00604A67">
        <w:t xml:space="preserve"> at 1325-28.</w:t>
      </w:r>
    </w:p>
  </w:footnote>
  <w:footnote w:id="44">
    <w:p w:rsidR="00000EF7" w:rsidRPr="00604A67" w:rsidRDefault="00000EF7" w:rsidP="00604A67">
      <w:pPr>
        <w:pStyle w:val="FootnoteText"/>
      </w:pPr>
      <w:r w:rsidRPr="00604A67">
        <w:rPr>
          <w:rStyle w:val="FootnoteReference"/>
        </w:rPr>
        <w:footnoteRef/>
      </w:r>
      <w:r w:rsidRPr="00604A67">
        <w:t xml:space="preserve">   </w:t>
      </w:r>
      <w:r w:rsidRPr="00604A67">
        <w:rPr>
          <w:i/>
        </w:rPr>
        <w:t xml:space="preserve">Id. </w:t>
      </w:r>
      <w:r w:rsidRPr="00604A67">
        <w:t>at 1328-31.</w:t>
      </w:r>
    </w:p>
  </w:footnote>
  <w:footnote w:id="45">
    <w:p w:rsidR="00000EF7" w:rsidRPr="00604A67" w:rsidRDefault="00000EF7" w:rsidP="00604A67">
      <w:pPr>
        <w:pStyle w:val="FootnoteText"/>
      </w:pPr>
      <w:r w:rsidRPr="00604A67">
        <w:rPr>
          <w:rStyle w:val="FootnoteReference"/>
        </w:rPr>
        <w:footnoteRef/>
      </w:r>
      <w:r w:rsidRPr="00604A67">
        <w:t xml:space="preserve">  </w:t>
      </w:r>
      <w:r w:rsidRPr="00604A67">
        <w:rPr>
          <w:i/>
        </w:rPr>
        <w:t xml:space="preserve">Id. </w:t>
      </w:r>
      <w:r w:rsidRPr="00604A67">
        <w:t>at 1308.</w:t>
      </w:r>
    </w:p>
  </w:footnote>
  <w:footnote w:id="46">
    <w:p w:rsidR="00960E34" w:rsidRPr="00604A67" w:rsidRDefault="00960E34" w:rsidP="00604A67">
      <w:pPr>
        <w:pStyle w:val="FootnoteText"/>
      </w:pPr>
      <w:r w:rsidRPr="00604A67">
        <w:rPr>
          <w:rStyle w:val="FootnoteReference"/>
        </w:rPr>
        <w:footnoteRef/>
      </w:r>
      <w:r w:rsidRPr="00604A67">
        <w:t xml:space="preserve">  Presentation at APA Pacific Division Meeting, April 15, 2017.</w:t>
      </w:r>
    </w:p>
  </w:footnote>
  <w:footnote w:id="47">
    <w:p w:rsidR="00000EF7" w:rsidRPr="00604A67" w:rsidRDefault="00000EF7" w:rsidP="00604A67">
      <w:pPr>
        <w:pStyle w:val="FootnoteText"/>
      </w:pPr>
      <w:r w:rsidRPr="00604A67">
        <w:rPr>
          <w:rStyle w:val="FootnoteReference"/>
        </w:rPr>
        <w:footnoteRef/>
      </w:r>
      <w:r w:rsidRPr="00604A67">
        <w:t xml:space="preserve">  I want to make clear that I am not in any way accusing Greenberg of (intentionally or unintentionally) misleading readers regarding the novelty of his work in general or any claim within it.</w:t>
      </w:r>
    </w:p>
  </w:footnote>
  <w:footnote w:id="48">
    <w:p w:rsidR="00000EF7" w:rsidRPr="00604A67" w:rsidRDefault="00000EF7" w:rsidP="00604A67">
      <w:pPr>
        <w:pStyle w:val="FootnoteText"/>
      </w:pPr>
      <w:r w:rsidRPr="00604A67">
        <w:rPr>
          <w:rStyle w:val="FootnoteReference"/>
        </w:rPr>
        <w:footnoteRef/>
      </w:r>
      <w:r w:rsidRPr="00604A67">
        <w:t xml:space="preserve">  Thomas Aquinas, </w:t>
      </w:r>
      <w:r w:rsidRPr="00604A67">
        <w:rPr>
          <w:i/>
        </w:rPr>
        <w:t>Summa Theologica</w:t>
      </w:r>
      <w:r w:rsidRPr="00604A67">
        <w:t xml:space="preserve"> I-II, q. 96, art. 4, corpus, reprinted in </w:t>
      </w:r>
      <w:r w:rsidRPr="00604A67">
        <w:rPr>
          <w:i/>
        </w:rPr>
        <w:t xml:space="preserve">St. Thomas Aquinas, The Treatise on Law </w:t>
      </w:r>
      <w:r w:rsidRPr="00604A67">
        <w:t xml:space="preserve">324-29 </w:t>
      </w:r>
      <w:r w:rsidR="00497F3B" w:rsidRPr="00604A67">
        <w:t>(</w:t>
      </w:r>
      <w:r w:rsidRPr="00604A67">
        <w:t>R. J. Henle, S.J., ed.,</w:t>
      </w:r>
      <w:r w:rsidR="00497F3B" w:rsidRPr="00604A67">
        <w:t xml:space="preserve"> Notre Dame,</w:t>
      </w:r>
      <w:r w:rsidRPr="00604A67">
        <w:t xml:space="preserve"> 1993).</w:t>
      </w:r>
    </w:p>
  </w:footnote>
  <w:footnote w:id="49">
    <w:p w:rsidR="00000EF7" w:rsidRPr="00604A67" w:rsidRDefault="00000EF7" w:rsidP="00604A67">
      <w:pPr>
        <w:pStyle w:val="FootnoteText"/>
      </w:pPr>
      <w:r w:rsidRPr="00604A67">
        <w:rPr>
          <w:rStyle w:val="FootnoteReference"/>
        </w:rPr>
        <w:footnoteRef/>
      </w:r>
      <w:r w:rsidRPr="00604A67">
        <w:t xml:space="preserve">  Joseph Raz, </w:t>
      </w:r>
      <w:r w:rsidRPr="00604A67">
        <w:rPr>
          <w:i/>
        </w:rPr>
        <w:t>Ethics in the Public Domain</w:t>
      </w:r>
      <w:r w:rsidRPr="00604A67">
        <w:t xml:space="preserve"> 330-34 (</w:t>
      </w:r>
      <w:r w:rsidR="00497F3B" w:rsidRPr="00604A67">
        <w:t xml:space="preserve">Oxford, </w:t>
      </w:r>
      <w:r w:rsidRPr="00604A67">
        <w:t xml:space="preserve">1994); </w:t>
      </w:r>
      <w:r w:rsidRPr="00604A67">
        <w:rPr>
          <w:smallCaps/>
        </w:rPr>
        <w:t>Joseph Raz, The Morality of Freedom</w:t>
      </w:r>
      <w:r w:rsidRPr="00604A67">
        <w:t xml:space="preserve"> 97-105 (1986).</w:t>
      </w:r>
    </w:p>
  </w:footnote>
  <w:footnote w:id="50">
    <w:p w:rsidR="00000EF7" w:rsidRPr="00604A67" w:rsidRDefault="00000EF7" w:rsidP="00604A67">
      <w:pPr>
        <w:pStyle w:val="FootnoteText"/>
      </w:pPr>
      <w:r w:rsidRPr="00604A67">
        <w:rPr>
          <w:rStyle w:val="FootnoteReference"/>
        </w:rPr>
        <w:footnoteRef/>
      </w:r>
      <w:r w:rsidRPr="00604A67">
        <w:t xml:space="preserve">  Larry Alexander, </w:t>
      </w:r>
      <w:r w:rsidR="00497F3B" w:rsidRPr="00604A67">
        <w:t>“</w:t>
      </w:r>
      <w:r w:rsidRPr="00604A67">
        <w:t>The Legal Enforcement of Morality</w:t>
      </w:r>
      <w:r w:rsidR="00497F3B" w:rsidRPr="00604A67">
        <w:t>”</w:t>
      </w:r>
      <w:r w:rsidRPr="00604A67">
        <w:t xml:space="preserve">, in </w:t>
      </w:r>
      <w:r w:rsidRPr="00604A67">
        <w:rPr>
          <w:i/>
        </w:rPr>
        <w:t>A Companion to Applied Ethics</w:t>
      </w:r>
      <w:r w:rsidRPr="00604A67">
        <w:t xml:space="preserve"> 128, 128 (R. G. Frey &amp; Christopher Heath Wellman, eds., </w:t>
      </w:r>
      <w:r w:rsidR="00497F3B" w:rsidRPr="00604A67">
        <w:t xml:space="preserve">Wiley-Blackwell, </w:t>
      </w:r>
      <w:r w:rsidRPr="00604A67">
        <w:t>2003).</w:t>
      </w:r>
    </w:p>
  </w:footnote>
  <w:footnote w:id="51">
    <w:p w:rsidR="00000EF7" w:rsidRPr="00604A67" w:rsidRDefault="00000EF7" w:rsidP="00604A67">
      <w:pPr>
        <w:pStyle w:val="FootnoteText"/>
      </w:pPr>
      <w:r w:rsidRPr="00604A67">
        <w:rPr>
          <w:rStyle w:val="FootnoteReference"/>
        </w:rPr>
        <w:footnoteRef/>
      </w:r>
      <w:r w:rsidRPr="00604A67">
        <w:t xml:space="preserve">  David Enoch, </w:t>
      </w:r>
      <w:r w:rsidR="00497F3B" w:rsidRPr="00604A67">
        <w:t>“</w:t>
      </w:r>
      <w:r w:rsidRPr="00604A67">
        <w:t>Reason-Giving and the Law,</w:t>
      </w:r>
      <w:r w:rsidR="00497F3B" w:rsidRPr="00604A67">
        <w:t>”</w:t>
      </w:r>
      <w:r w:rsidRPr="00604A67">
        <w:t xml:space="preserve"> in </w:t>
      </w:r>
      <w:r w:rsidRPr="00604A67">
        <w:rPr>
          <w:i/>
        </w:rPr>
        <w:t>Oxford Studies in Philosophy of Law, Volume 1</w:t>
      </w:r>
      <w:r w:rsidRPr="00604A67">
        <w:t xml:space="preserve"> at 1 (Leslie Green &amp; Brian Leiter, eds., </w:t>
      </w:r>
      <w:r w:rsidR="00497F3B" w:rsidRPr="00604A67">
        <w:t xml:space="preserve">Oxford, </w:t>
      </w:r>
      <w:r w:rsidRPr="00604A67">
        <w:t>2011).</w:t>
      </w:r>
    </w:p>
  </w:footnote>
  <w:footnote w:id="52">
    <w:p w:rsidR="00000EF7" w:rsidRPr="00604A67" w:rsidRDefault="00000EF7" w:rsidP="00604A67">
      <w:pPr>
        <w:pStyle w:val="FootnoteText"/>
      </w:pPr>
      <w:r w:rsidRPr="00604A67">
        <w:rPr>
          <w:rStyle w:val="FootnoteReference"/>
        </w:rPr>
        <w:footnoteRef/>
      </w:r>
      <w:r w:rsidRPr="00604A67">
        <w:t xml:space="preserve">   Greenberg,</w:t>
      </w:r>
      <w:r w:rsidR="00497F3B" w:rsidRPr="00604A67">
        <w:t xml:space="preserve"> “The Moral Impact Theory of Law,” 1</w:t>
      </w:r>
      <w:r w:rsidRPr="00604A67">
        <w:t>310-17.</w:t>
      </w:r>
    </w:p>
  </w:footnote>
  <w:footnote w:id="53">
    <w:p w:rsidR="00000EF7" w:rsidRPr="00604A67" w:rsidRDefault="00000EF7" w:rsidP="00604A67">
      <w:pPr>
        <w:pStyle w:val="FootnoteText"/>
      </w:pPr>
      <w:r w:rsidRPr="00604A67">
        <w:rPr>
          <w:rStyle w:val="FootnoteReference"/>
        </w:rPr>
        <w:footnoteRef/>
      </w:r>
      <w:r w:rsidRPr="00604A67">
        <w:t xml:space="preserve">  </w:t>
      </w:r>
      <w:r w:rsidRPr="00604A67">
        <w:rPr>
          <w:i/>
        </w:rPr>
        <w:t xml:space="preserve">See </w:t>
      </w:r>
      <w:r w:rsidRPr="00604A67">
        <w:t xml:space="preserve">M. B. E. Smith, </w:t>
      </w:r>
      <w:r w:rsidR="00497F3B" w:rsidRPr="00604A67">
        <w:t>“</w:t>
      </w:r>
      <w:r w:rsidRPr="00604A67">
        <w:t>Is There a Prima Facie Obligation to Obey the Law?</w:t>
      </w:r>
      <w:r w:rsidRPr="00604A67">
        <w:rPr>
          <w:i/>
        </w:rPr>
        <w:t>,</w:t>
      </w:r>
      <w:r w:rsidR="00497F3B" w:rsidRPr="00604A67">
        <w:t>”</w:t>
      </w:r>
      <w:r w:rsidRPr="00604A67">
        <w:t xml:space="preserve"> 82</w:t>
      </w:r>
      <w:r w:rsidR="00497F3B" w:rsidRPr="00604A67">
        <w:t xml:space="preserve"> </w:t>
      </w:r>
      <w:r w:rsidR="00497F3B" w:rsidRPr="00604A67">
        <w:rPr>
          <w:i/>
        </w:rPr>
        <w:t>Yale Law Journal</w:t>
      </w:r>
      <w:r w:rsidRPr="00604A67">
        <w:t xml:space="preserve"> 950 (1973) (influential analysis of the issue of whether we have a general moral obligation to obey the law).</w:t>
      </w:r>
    </w:p>
  </w:footnote>
  <w:footnote w:id="54">
    <w:p w:rsidR="00000EF7" w:rsidRPr="00604A67" w:rsidRDefault="00000EF7" w:rsidP="00604A67">
      <w:pPr>
        <w:pStyle w:val="FootnoteText"/>
      </w:pPr>
      <w:r w:rsidRPr="00604A67">
        <w:rPr>
          <w:rStyle w:val="FootnoteReference"/>
        </w:rPr>
        <w:footnoteRef/>
      </w:r>
      <w:r w:rsidRPr="00604A67">
        <w:t xml:space="preserve">   Greenberg,</w:t>
      </w:r>
      <w:r w:rsidR="00497F3B" w:rsidRPr="00604A67">
        <w:t xml:space="preserve"> “The Moral Impact Theory of Law,” </w:t>
      </w:r>
      <w:r w:rsidRPr="00604A67">
        <w:t>1341.</w:t>
      </w:r>
    </w:p>
  </w:footnote>
  <w:footnote w:id="55">
    <w:p w:rsidR="00000EF7" w:rsidRPr="00604A67" w:rsidRDefault="00000EF7" w:rsidP="00604A67">
      <w:pPr>
        <w:pStyle w:val="FootnoteText"/>
      </w:pPr>
      <w:r w:rsidRPr="00604A67">
        <w:rPr>
          <w:rStyle w:val="FootnoteReference"/>
        </w:rPr>
        <w:footnoteRef/>
      </w:r>
      <w:r w:rsidRPr="00604A67">
        <w:t xml:space="preserve">  This view is expressed in the famous “Radbruch Formula.”  </w:t>
      </w:r>
      <w:r w:rsidRPr="00604A67">
        <w:rPr>
          <w:i/>
        </w:rPr>
        <w:t xml:space="preserve">See </w:t>
      </w:r>
      <w:r w:rsidRPr="00604A67">
        <w:t xml:space="preserve">Gustav Radbruch, </w:t>
      </w:r>
      <w:r w:rsidR="00497F3B" w:rsidRPr="00604A67">
        <w:t>“</w:t>
      </w:r>
      <w:r w:rsidRPr="00604A67">
        <w:t>Statutory Lawlessness and Supra-Statutory Law</w:t>
      </w:r>
      <w:r w:rsidR="00497F3B" w:rsidRPr="00604A67">
        <w:t>”</w:t>
      </w:r>
      <w:r w:rsidRPr="00604A67">
        <w:t xml:space="preserve"> (trans. Bonnie Litschewski Paulson &amp; Stanley L. Paulson), 26</w:t>
      </w:r>
      <w:r w:rsidR="00497F3B" w:rsidRPr="00604A67">
        <w:t xml:space="preserve"> </w:t>
      </w:r>
      <w:r w:rsidR="00497F3B" w:rsidRPr="00604A67">
        <w:rPr>
          <w:i/>
        </w:rPr>
        <w:t xml:space="preserve">Oxford Journal of Legal Studies </w:t>
      </w:r>
      <w:r w:rsidRPr="00604A67">
        <w:t>1-11 (2006).  It remains contested whether a similar view is expressed in the phrase associated with natural law theory, “</w:t>
      </w:r>
      <w:r w:rsidRPr="00604A67">
        <w:rPr>
          <w:i/>
        </w:rPr>
        <w:t>lex iniusta non est lex</w:t>
      </w:r>
      <w:r w:rsidRPr="00604A67">
        <w:t xml:space="preserve">.”  </w:t>
      </w:r>
      <w:r w:rsidRPr="00604A67">
        <w:rPr>
          <w:i/>
        </w:rPr>
        <w:t>See</w:t>
      </w:r>
      <w:r w:rsidRPr="00604A67">
        <w:t>, e.g.</w:t>
      </w:r>
      <w:r w:rsidRPr="00604A67">
        <w:rPr>
          <w:i/>
        </w:rPr>
        <w:t xml:space="preserve">, </w:t>
      </w:r>
      <w:r w:rsidRPr="00604A67">
        <w:t>Norman Kre</w:t>
      </w:r>
      <w:r w:rsidR="00960E34" w:rsidRPr="00604A67">
        <w:t>t</w:t>
      </w:r>
      <w:r w:rsidRPr="00604A67">
        <w:t xml:space="preserve">zmann, </w:t>
      </w:r>
      <w:r w:rsidR="00497F3B" w:rsidRPr="00604A67">
        <w:t>“</w:t>
      </w:r>
      <w:r w:rsidRPr="00604A67">
        <w:rPr>
          <w:i/>
          <w:iCs/>
        </w:rPr>
        <w:t>Lex Iniusta Non Est Lex</w:t>
      </w:r>
      <w:r w:rsidRPr="00604A67">
        <w:t>:  Laws on Trial in Aquinas’ Court of Conscience,</w:t>
      </w:r>
      <w:r w:rsidR="00497F3B" w:rsidRPr="00604A67">
        <w:t>”</w:t>
      </w:r>
      <w:r w:rsidRPr="00604A67">
        <w:t xml:space="preserve"> 33</w:t>
      </w:r>
      <w:r w:rsidR="00497F3B" w:rsidRPr="00604A67">
        <w:t xml:space="preserve"> </w:t>
      </w:r>
      <w:r w:rsidR="00497F3B" w:rsidRPr="00604A67">
        <w:rPr>
          <w:i/>
        </w:rPr>
        <w:t>American Journal of Jurisprudence</w:t>
      </w:r>
      <w:r w:rsidRPr="00604A67">
        <w:t xml:space="preserve"> 99 (1988).</w:t>
      </w:r>
    </w:p>
  </w:footnote>
  <w:footnote w:id="56">
    <w:p w:rsidR="00000EF7" w:rsidRPr="00604A67" w:rsidRDefault="00000EF7" w:rsidP="00604A67">
      <w:pPr>
        <w:pStyle w:val="FootnoteText"/>
      </w:pPr>
      <w:r w:rsidRPr="00604A67">
        <w:rPr>
          <w:rStyle w:val="FootnoteReference"/>
        </w:rPr>
        <w:footnoteRef/>
      </w:r>
      <w:r w:rsidRPr="00604A67">
        <w:t xml:space="preserve"> H. L. A. Hart, </w:t>
      </w:r>
      <w:r w:rsidR="00497F3B" w:rsidRPr="00604A67">
        <w:t>“</w:t>
      </w:r>
      <w:r w:rsidRPr="00604A67">
        <w:t>Positivism and the Separation of Law and Morals,</w:t>
      </w:r>
      <w:r w:rsidR="00497F3B" w:rsidRPr="00604A67">
        <w:t>”</w:t>
      </w:r>
      <w:r w:rsidRPr="00604A67">
        <w:t xml:space="preserve"> </w:t>
      </w:r>
      <w:r w:rsidRPr="00604A67">
        <w:rPr>
          <w:i/>
        </w:rPr>
        <w:t>Harv</w:t>
      </w:r>
      <w:r w:rsidR="00497F3B" w:rsidRPr="00604A67">
        <w:rPr>
          <w:i/>
        </w:rPr>
        <w:t>ard</w:t>
      </w:r>
      <w:r w:rsidRPr="00604A67">
        <w:rPr>
          <w:i/>
        </w:rPr>
        <w:t xml:space="preserve"> L</w:t>
      </w:r>
      <w:r w:rsidR="00497F3B" w:rsidRPr="00604A67">
        <w:rPr>
          <w:i/>
        </w:rPr>
        <w:t>aw</w:t>
      </w:r>
      <w:r w:rsidRPr="00604A67">
        <w:rPr>
          <w:i/>
        </w:rPr>
        <w:t xml:space="preserve"> Rev</w:t>
      </w:r>
      <w:r w:rsidR="00497F3B" w:rsidRPr="00604A67">
        <w:rPr>
          <w:i/>
        </w:rPr>
        <w:t>iew</w:t>
      </w:r>
      <w:r w:rsidR="00604A67">
        <w:t xml:space="preserve">, vol. 71, pp. </w:t>
      </w:r>
      <w:r w:rsidRPr="00604A67">
        <w:t xml:space="preserve"> 593</w:t>
      </w:r>
      <w:r w:rsidR="00604A67">
        <w:t>-629</w:t>
      </w:r>
      <w:r w:rsidRPr="00604A67">
        <w:t xml:space="preserve"> (1958)</w:t>
      </w:r>
      <w:r w:rsidR="00604A67">
        <w:t>, at pp. 594-598.</w:t>
      </w:r>
    </w:p>
  </w:footnote>
  <w:footnote w:id="57">
    <w:p w:rsidR="00000EF7" w:rsidRPr="00604A67" w:rsidRDefault="00000EF7" w:rsidP="00604A67">
      <w:pPr>
        <w:pStyle w:val="FootnoteText"/>
      </w:pPr>
      <w:r w:rsidRPr="00604A67">
        <w:rPr>
          <w:rStyle w:val="FootnoteReference"/>
        </w:rPr>
        <w:footnoteRef/>
      </w:r>
      <w:r w:rsidRPr="00604A67">
        <w:t xml:space="preserve">  See Waldron, “Jurisprudence for Hedgehogs.”</w:t>
      </w:r>
    </w:p>
  </w:footnote>
  <w:footnote w:id="58">
    <w:p w:rsidR="00000EF7" w:rsidRPr="00604A67" w:rsidRDefault="00000EF7" w:rsidP="00604A67">
      <w:pPr>
        <w:pStyle w:val="FootnoteText"/>
      </w:pPr>
      <w:r w:rsidRPr="00604A67">
        <w:rPr>
          <w:rStyle w:val="FootnoteReference"/>
        </w:rPr>
        <w:footnoteRef/>
      </w:r>
      <w:r w:rsidRPr="00604A67">
        <w:t xml:space="preserve">   For an elaboration of the argument presented in this paragraph, see Joseph Raz, </w:t>
      </w:r>
      <w:r w:rsidRPr="00604A67">
        <w:rPr>
          <w:i/>
        </w:rPr>
        <w:t>The Morality of Freedom</w:t>
      </w:r>
      <w:r w:rsidRPr="00604A67">
        <w:t xml:space="preserve"> 70-80 (</w:t>
      </w:r>
      <w:r w:rsidR="00497F3B" w:rsidRPr="00604A67">
        <w:t xml:space="preserve">Oxford, </w:t>
      </w:r>
      <w:r w:rsidRPr="00604A67">
        <w:t>1986</w:t>
      </w:r>
      <w:r w:rsidR="00070CDE" w:rsidRPr="00604A67">
        <w:t>).</w:t>
      </w:r>
      <w:r w:rsidRPr="00604A67">
        <w:t xml:space="preserve"> </w:t>
      </w:r>
    </w:p>
  </w:footnote>
  <w:footnote w:id="59">
    <w:p w:rsidR="00070CDE" w:rsidRPr="00604A67" w:rsidRDefault="00070CDE" w:rsidP="00604A67">
      <w:pPr>
        <w:pStyle w:val="FootnoteText"/>
      </w:pPr>
      <w:r w:rsidRPr="00604A67">
        <w:rPr>
          <w:rStyle w:val="FootnoteReference"/>
        </w:rPr>
        <w:footnoteRef/>
      </w:r>
      <w:r w:rsidRPr="00604A67">
        <w:t xml:space="preserve">  </w:t>
      </w:r>
      <w:r w:rsidRPr="00604A67">
        <w:rPr>
          <w:i/>
        </w:rPr>
        <w:t>Summa Theologica</w:t>
      </w:r>
      <w:r w:rsidRPr="00604A67">
        <w:t>, I-II, qu. 96, art. 4, corpus.</w:t>
      </w:r>
    </w:p>
  </w:footnote>
  <w:footnote w:id="60">
    <w:p w:rsidR="00070CDE" w:rsidRPr="00604A67" w:rsidRDefault="00070CDE" w:rsidP="00604A67">
      <w:pPr>
        <w:pStyle w:val="FootnoteText"/>
      </w:pPr>
      <w:r w:rsidRPr="00604A67">
        <w:rPr>
          <w:rStyle w:val="FootnoteReference"/>
        </w:rPr>
        <w:footnoteRef/>
      </w:r>
      <w:r w:rsidRPr="00604A67">
        <w:t xml:space="preserve">  </w:t>
      </w:r>
      <w:r w:rsidRPr="00604A67">
        <w:rPr>
          <w:i/>
        </w:rPr>
        <w:t xml:space="preserve">See </w:t>
      </w:r>
      <w:r w:rsidRPr="00604A67">
        <w:t xml:space="preserve">John Rawls, </w:t>
      </w:r>
      <w:r w:rsidRPr="00604A67">
        <w:rPr>
          <w:i/>
        </w:rPr>
        <w:t xml:space="preserve">A Theory of Justice </w:t>
      </w:r>
      <w:r w:rsidRPr="00604A67">
        <w:t>(rev. ed., Harvard, 1999)</w:t>
      </w:r>
      <w:r w:rsidR="00604A67">
        <w:t>, p. 99</w:t>
      </w:r>
      <w:r w:rsidRPr="00604A67">
        <w:t xml:space="preserve"> (obligation to uphold just institutions).</w:t>
      </w:r>
    </w:p>
  </w:footnote>
  <w:footnote w:id="61">
    <w:p w:rsidR="00070CDE" w:rsidRPr="00604A67" w:rsidRDefault="00070CDE" w:rsidP="00604A67">
      <w:pPr>
        <w:pStyle w:val="FootnoteText"/>
      </w:pPr>
      <w:r w:rsidRPr="00604A67">
        <w:rPr>
          <w:rStyle w:val="FootnoteReference"/>
        </w:rPr>
        <w:footnoteRef/>
      </w:r>
      <w:r w:rsidRPr="00604A67">
        <w:t xml:space="preserve">  John Finnis, </w:t>
      </w:r>
      <w:r w:rsidRPr="00604A67">
        <w:rPr>
          <w:i/>
        </w:rPr>
        <w:t xml:space="preserve">Natural Law &amp; Natural Rights </w:t>
      </w:r>
      <w:r w:rsidRPr="00604A67">
        <w:t>(2</w:t>
      </w:r>
      <w:r w:rsidRPr="00604A67">
        <w:rPr>
          <w:vertAlign w:val="superscript"/>
        </w:rPr>
        <w:t>nd</w:t>
      </w:r>
      <w:r w:rsidRPr="00604A67">
        <w:t xml:space="preserve"> ed., Oxford, 2011)</w:t>
      </w:r>
      <w:r w:rsidR="00604A67">
        <w:t>, pp. 361-362</w:t>
      </w:r>
      <w:r w:rsidRPr="00604A67">
        <w:t>.</w:t>
      </w:r>
    </w:p>
  </w:footnote>
  <w:footnote w:id="62">
    <w:p w:rsidR="00000EF7" w:rsidRPr="00604A67" w:rsidRDefault="00000EF7" w:rsidP="00604A67">
      <w:pPr>
        <w:pStyle w:val="FootnoteText"/>
      </w:pPr>
      <w:r w:rsidRPr="00604A67">
        <w:rPr>
          <w:rStyle w:val="FootnoteReference"/>
        </w:rPr>
        <w:footnoteRef/>
      </w:r>
      <w:r w:rsidRPr="00604A67">
        <w:t xml:space="preserve">  Ronald Dworkin obviously comes to mind.  </w:t>
      </w:r>
      <w:r w:rsidRPr="00604A67">
        <w:rPr>
          <w:i/>
        </w:rPr>
        <w:t>See, e.g.</w:t>
      </w:r>
      <w:r w:rsidRPr="00604A67">
        <w:t xml:space="preserve">, Ronald Dworkin, </w:t>
      </w:r>
      <w:r w:rsidRPr="00604A67">
        <w:rPr>
          <w:i/>
        </w:rPr>
        <w:t>Law’s Empire</w:t>
      </w:r>
      <w:r w:rsidRPr="00604A67">
        <w:t xml:space="preserve"> (</w:t>
      </w:r>
      <w:r w:rsidR="00497F3B" w:rsidRPr="00604A67">
        <w:t xml:space="preserve">Harvard, </w:t>
      </w:r>
      <w:r w:rsidRPr="00604A67">
        <w:t>1986).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39D"/>
    <w:rsid w:val="0000040B"/>
    <w:rsid w:val="000006A0"/>
    <w:rsid w:val="00000EF7"/>
    <w:rsid w:val="00001901"/>
    <w:rsid w:val="000110EE"/>
    <w:rsid w:val="0002070C"/>
    <w:rsid w:val="00024306"/>
    <w:rsid w:val="000302EE"/>
    <w:rsid w:val="00033430"/>
    <w:rsid w:val="00046F7F"/>
    <w:rsid w:val="000470A1"/>
    <w:rsid w:val="00050A39"/>
    <w:rsid w:val="000636E8"/>
    <w:rsid w:val="00066243"/>
    <w:rsid w:val="00070CDE"/>
    <w:rsid w:val="000833BD"/>
    <w:rsid w:val="00085418"/>
    <w:rsid w:val="000972EF"/>
    <w:rsid w:val="00097633"/>
    <w:rsid w:val="000A109A"/>
    <w:rsid w:val="000A12DF"/>
    <w:rsid w:val="000A3946"/>
    <w:rsid w:val="000A5D73"/>
    <w:rsid w:val="000B1101"/>
    <w:rsid w:val="000B6236"/>
    <w:rsid w:val="000C2077"/>
    <w:rsid w:val="000C49E1"/>
    <w:rsid w:val="000C5576"/>
    <w:rsid w:val="000D536C"/>
    <w:rsid w:val="000D72DC"/>
    <w:rsid w:val="000F0293"/>
    <w:rsid w:val="00110AE3"/>
    <w:rsid w:val="00111CAD"/>
    <w:rsid w:val="00115B19"/>
    <w:rsid w:val="00125023"/>
    <w:rsid w:val="00131F99"/>
    <w:rsid w:val="00146872"/>
    <w:rsid w:val="00154F67"/>
    <w:rsid w:val="00165E6A"/>
    <w:rsid w:val="001679BA"/>
    <w:rsid w:val="00172A5D"/>
    <w:rsid w:val="00173777"/>
    <w:rsid w:val="00186A40"/>
    <w:rsid w:val="00191192"/>
    <w:rsid w:val="00195303"/>
    <w:rsid w:val="001A739B"/>
    <w:rsid w:val="001A7BB2"/>
    <w:rsid w:val="001C0F3E"/>
    <w:rsid w:val="001D0BCB"/>
    <w:rsid w:val="001E42DE"/>
    <w:rsid w:val="001E5B15"/>
    <w:rsid w:val="001E73EE"/>
    <w:rsid w:val="001F3744"/>
    <w:rsid w:val="002061B5"/>
    <w:rsid w:val="002165A3"/>
    <w:rsid w:val="00242DBE"/>
    <w:rsid w:val="00244703"/>
    <w:rsid w:val="002576EE"/>
    <w:rsid w:val="00257FCB"/>
    <w:rsid w:val="002636E7"/>
    <w:rsid w:val="002678B3"/>
    <w:rsid w:val="0027008C"/>
    <w:rsid w:val="00276B99"/>
    <w:rsid w:val="00285F62"/>
    <w:rsid w:val="00287A55"/>
    <w:rsid w:val="00287A59"/>
    <w:rsid w:val="00294511"/>
    <w:rsid w:val="002A0DE9"/>
    <w:rsid w:val="002B02E2"/>
    <w:rsid w:val="002B1D93"/>
    <w:rsid w:val="002D067C"/>
    <w:rsid w:val="002D714B"/>
    <w:rsid w:val="002E2FAA"/>
    <w:rsid w:val="002F27D3"/>
    <w:rsid w:val="002F40D0"/>
    <w:rsid w:val="002F686D"/>
    <w:rsid w:val="003103FE"/>
    <w:rsid w:val="003219B1"/>
    <w:rsid w:val="003251A2"/>
    <w:rsid w:val="00327021"/>
    <w:rsid w:val="0033143F"/>
    <w:rsid w:val="00340DAA"/>
    <w:rsid w:val="00351EF0"/>
    <w:rsid w:val="00352F6E"/>
    <w:rsid w:val="0035738E"/>
    <w:rsid w:val="00360495"/>
    <w:rsid w:val="0036480D"/>
    <w:rsid w:val="003757FA"/>
    <w:rsid w:val="0037762D"/>
    <w:rsid w:val="00383F53"/>
    <w:rsid w:val="0038585C"/>
    <w:rsid w:val="00385A05"/>
    <w:rsid w:val="00385CE8"/>
    <w:rsid w:val="003962CF"/>
    <w:rsid w:val="00396502"/>
    <w:rsid w:val="003A58D3"/>
    <w:rsid w:val="003A618A"/>
    <w:rsid w:val="003B2922"/>
    <w:rsid w:val="003E6FE4"/>
    <w:rsid w:val="003F0AF8"/>
    <w:rsid w:val="003F4AEF"/>
    <w:rsid w:val="00401715"/>
    <w:rsid w:val="004048F1"/>
    <w:rsid w:val="004120E2"/>
    <w:rsid w:val="00427EB5"/>
    <w:rsid w:val="00431B87"/>
    <w:rsid w:val="00433B91"/>
    <w:rsid w:val="00435A65"/>
    <w:rsid w:val="00437D94"/>
    <w:rsid w:val="00442956"/>
    <w:rsid w:val="004503FD"/>
    <w:rsid w:val="00457D16"/>
    <w:rsid w:val="00464214"/>
    <w:rsid w:val="0046757A"/>
    <w:rsid w:val="0047533C"/>
    <w:rsid w:val="0047690F"/>
    <w:rsid w:val="00484572"/>
    <w:rsid w:val="00494C93"/>
    <w:rsid w:val="00497F3B"/>
    <w:rsid w:val="004A71E3"/>
    <w:rsid w:val="004A7477"/>
    <w:rsid w:val="004C0B6C"/>
    <w:rsid w:val="004C72E1"/>
    <w:rsid w:val="004D0333"/>
    <w:rsid w:val="004E028E"/>
    <w:rsid w:val="004E2B8E"/>
    <w:rsid w:val="004E5C93"/>
    <w:rsid w:val="004E6A14"/>
    <w:rsid w:val="004F168C"/>
    <w:rsid w:val="00513FE7"/>
    <w:rsid w:val="0052028D"/>
    <w:rsid w:val="00525B10"/>
    <w:rsid w:val="00527A51"/>
    <w:rsid w:val="00533D1F"/>
    <w:rsid w:val="00535C16"/>
    <w:rsid w:val="005362BC"/>
    <w:rsid w:val="00541721"/>
    <w:rsid w:val="0054223C"/>
    <w:rsid w:val="00546748"/>
    <w:rsid w:val="00550A6A"/>
    <w:rsid w:val="005634DD"/>
    <w:rsid w:val="005648D4"/>
    <w:rsid w:val="00571A1E"/>
    <w:rsid w:val="00572795"/>
    <w:rsid w:val="00573D39"/>
    <w:rsid w:val="005840DE"/>
    <w:rsid w:val="00585D89"/>
    <w:rsid w:val="00586DD6"/>
    <w:rsid w:val="005872D4"/>
    <w:rsid w:val="00592DA5"/>
    <w:rsid w:val="005A03DE"/>
    <w:rsid w:val="005A6958"/>
    <w:rsid w:val="005B7886"/>
    <w:rsid w:val="005C2E12"/>
    <w:rsid w:val="005D2669"/>
    <w:rsid w:val="005D542F"/>
    <w:rsid w:val="005D5A97"/>
    <w:rsid w:val="005E72FD"/>
    <w:rsid w:val="00604A67"/>
    <w:rsid w:val="00606107"/>
    <w:rsid w:val="006071E6"/>
    <w:rsid w:val="006079AE"/>
    <w:rsid w:val="00620465"/>
    <w:rsid w:val="006206FC"/>
    <w:rsid w:val="006333BC"/>
    <w:rsid w:val="00640AC7"/>
    <w:rsid w:val="00644C52"/>
    <w:rsid w:val="0065119A"/>
    <w:rsid w:val="00651673"/>
    <w:rsid w:val="006612B3"/>
    <w:rsid w:val="006654B5"/>
    <w:rsid w:val="006702B9"/>
    <w:rsid w:val="00682767"/>
    <w:rsid w:val="0069434A"/>
    <w:rsid w:val="006A6830"/>
    <w:rsid w:val="006B630E"/>
    <w:rsid w:val="006C2C1C"/>
    <w:rsid w:val="006C51D9"/>
    <w:rsid w:val="006D1A0B"/>
    <w:rsid w:val="006D5D25"/>
    <w:rsid w:val="006E4085"/>
    <w:rsid w:val="006F4BFB"/>
    <w:rsid w:val="0070227C"/>
    <w:rsid w:val="00714AE1"/>
    <w:rsid w:val="007552FA"/>
    <w:rsid w:val="0076184B"/>
    <w:rsid w:val="00765AFC"/>
    <w:rsid w:val="00770814"/>
    <w:rsid w:val="00772A42"/>
    <w:rsid w:val="0078143B"/>
    <w:rsid w:val="00791B53"/>
    <w:rsid w:val="00792E21"/>
    <w:rsid w:val="00795E4B"/>
    <w:rsid w:val="007A7C2F"/>
    <w:rsid w:val="007B39B2"/>
    <w:rsid w:val="007B62FF"/>
    <w:rsid w:val="007C25B6"/>
    <w:rsid w:val="007D2B3F"/>
    <w:rsid w:val="007D6B7D"/>
    <w:rsid w:val="007E7B5C"/>
    <w:rsid w:val="007F081F"/>
    <w:rsid w:val="007F49C7"/>
    <w:rsid w:val="008068D3"/>
    <w:rsid w:val="00811EC0"/>
    <w:rsid w:val="00813A82"/>
    <w:rsid w:val="00813C25"/>
    <w:rsid w:val="00816C5C"/>
    <w:rsid w:val="0082000E"/>
    <w:rsid w:val="00824AE1"/>
    <w:rsid w:val="00825200"/>
    <w:rsid w:val="00836FDF"/>
    <w:rsid w:val="0084354C"/>
    <w:rsid w:val="008437F4"/>
    <w:rsid w:val="008440DB"/>
    <w:rsid w:val="00845D08"/>
    <w:rsid w:val="00862100"/>
    <w:rsid w:val="008629DF"/>
    <w:rsid w:val="00864837"/>
    <w:rsid w:val="00870361"/>
    <w:rsid w:val="00876B64"/>
    <w:rsid w:val="00883843"/>
    <w:rsid w:val="0089533F"/>
    <w:rsid w:val="00895BBD"/>
    <w:rsid w:val="00895DC5"/>
    <w:rsid w:val="008A1378"/>
    <w:rsid w:val="008A2F27"/>
    <w:rsid w:val="008B0741"/>
    <w:rsid w:val="008B1226"/>
    <w:rsid w:val="008B3AAB"/>
    <w:rsid w:val="008B42DB"/>
    <w:rsid w:val="008B5876"/>
    <w:rsid w:val="008C4895"/>
    <w:rsid w:val="008C51A0"/>
    <w:rsid w:val="008C6EF9"/>
    <w:rsid w:val="008E12FC"/>
    <w:rsid w:val="008E4824"/>
    <w:rsid w:val="008E762A"/>
    <w:rsid w:val="00901C78"/>
    <w:rsid w:val="009061C4"/>
    <w:rsid w:val="00910583"/>
    <w:rsid w:val="0091061D"/>
    <w:rsid w:val="00914AAA"/>
    <w:rsid w:val="00922532"/>
    <w:rsid w:val="00924DC8"/>
    <w:rsid w:val="00945861"/>
    <w:rsid w:val="009459CC"/>
    <w:rsid w:val="009466C5"/>
    <w:rsid w:val="0094715C"/>
    <w:rsid w:val="00950BAE"/>
    <w:rsid w:val="00960E34"/>
    <w:rsid w:val="0096491A"/>
    <w:rsid w:val="00974A23"/>
    <w:rsid w:val="009818C5"/>
    <w:rsid w:val="0098194A"/>
    <w:rsid w:val="009A092A"/>
    <w:rsid w:val="009A2C2F"/>
    <w:rsid w:val="009A4252"/>
    <w:rsid w:val="009A603A"/>
    <w:rsid w:val="009B6AEB"/>
    <w:rsid w:val="009C3A4B"/>
    <w:rsid w:val="009C43CC"/>
    <w:rsid w:val="009C5250"/>
    <w:rsid w:val="009C7D9F"/>
    <w:rsid w:val="009D1468"/>
    <w:rsid w:val="009D2F2E"/>
    <w:rsid w:val="009E31D0"/>
    <w:rsid w:val="009E33E9"/>
    <w:rsid w:val="009F117E"/>
    <w:rsid w:val="009F5264"/>
    <w:rsid w:val="00A06A9A"/>
    <w:rsid w:val="00A10F54"/>
    <w:rsid w:val="00A14E1B"/>
    <w:rsid w:val="00A31EB4"/>
    <w:rsid w:val="00A56FFA"/>
    <w:rsid w:val="00A61D76"/>
    <w:rsid w:val="00A65F3E"/>
    <w:rsid w:val="00A70298"/>
    <w:rsid w:val="00A70389"/>
    <w:rsid w:val="00A74696"/>
    <w:rsid w:val="00A74BEB"/>
    <w:rsid w:val="00A768F0"/>
    <w:rsid w:val="00A81220"/>
    <w:rsid w:val="00A84D70"/>
    <w:rsid w:val="00A878DC"/>
    <w:rsid w:val="00AA547C"/>
    <w:rsid w:val="00AB239D"/>
    <w:rsid w:val="00AB6B1E"/>
    <w:rsid w:val="00AD084F"/>
    <w:rsid w:val="00AD7735"/>
    <w:rsid w:val="00AF1E22"/>
    <w:rsid w:val="00B12E0B"/>
    <w:rsid w:val="00B1766E"/>
    <w:rsid w:val="00B34A86"/>
    <w:rsid w:val="00B44411"/>
    <w:rsid w:val="00B47AE5"/>
    <w:rsid w:val="00B47C81"/>
    <w:rsid w:val="00B51FC3"/>
    <w:rsid w:val="00B6482F"/>
    <w:rsid w:val="00B74C15"/>
    <w:rsid w:val="00B74E1D"/>
    <w:rsid w:val="00B90D9B"/>
    <w:rsid w:val="00BA5BFF"/>
    <w:rsid w:val="00BB77AC"/>
    <w:rsid w:val="00BC0D2F"/>
    <w:rsid w:val="00BD072A"/>
    <w:rsid w:val="00BD2A9D"/>
    <w:rsid w:val="00BD54F8"/>
    <w:rsid w:val="00BE18D0"/>
    <w:rsid w:val="00BE3FD8"/>
    <w:rsid w:val="00BE6B50"/>
    <w:rsid w:val="00C03682"/>
    <w:rsid w:val="00C05667"/>
    <w:rsid w:val="00C0590F"/>
    <w:rsid w:val="00C11583"/>
    <w:rsid w:val="00C11E8E"/>
    <w:rsid w:val="00C15C92"/>
    <w:rsid w:val="00C2253F"/>
    <w:rsid w:val="00C24A4D"/>
    <w:rsid w:val="00C25D49"/>
    <w:rsid w:val="00C42DBF"/>
    <w:rsid w:val="00C57F6E"/>
    <w:rsid w:val="00C62C63"/>
    <w:rsid w:val="00C64F74"/>
    <w:rsid w:val="00C75375"/>
    <w:rsid w:val="00C86092"/>
    <w:rsid w:val="00C92F9C"/>
    <w:rsid w:val="00CA3A31"/>
    <w:rsid w:val="00CB6808"/>
    <w:rsid w:val="00CC7014"/>
    <w:rsid w:val="00CD1C24"/>
    <w:rsid w:val="00CD443E"/>
    <w:rsid w:val="00CF62C4"/>
    <w:rsid w:val="00CF712C"/>
    <w:rsid w:val="00CF77CB"/>
    <w:rsid w:val="00D05F13"/>
    <w:rsid w:val="00D125DC"/>
    <w:rsid w:val="00D34C55"/>
    <w:rsid w:val="00D3523D"/>
    <w:rsid w:val="00D44394"/>
    <w:rsid w:val="00D45668"/>
    <w:rsid w:val="00D50A1F"/>
    <w:rsid w:val="00D51788"/>
    <w:rsid w:val="00D5378C"/>
    <w:rsid w:val="00D61EA5"/>
    <w:rsid w:val="00D62316"/>
    <w:rsid w:val="00D6314F"/>
    <w:rsid w:val="00D676C1"/>
    <w:rsid w:val="00D7501E"/>
    <w:rsid w:val="00D90854"/>
    <w:rsid w:val="00D911D6"/>
    <w:rsid w:val="00D937B2"/>
    <w:rsid w:val="00D94B74"/>
    <w:rsid w:val="00DA1E67"/>
    <w:rsid w:val="00DB7C53"/>
    <w:rsid w:val="00DC09F5"/>
    <w:rsid w:val="00DE1E46"/>
    <w:rsid w:val="00DE5125"/>
    <w:rsid w:val="00DF1C46"/>
    <w:rsid w:val="00DF2C75"/>
    <w:rsid w:val="00E01A4F"/>
    <w:rsid w:val="00E062DB"/>
    <w:rsid w:val="00E143E1"/>
    <w:rsid w:val="00E24151"/>
    <w:rsid w:val="00E24B94"/>
    <w:rsid w:val="00E3058C"/>
    <w:rsid w:val="00E31B27"/>
    <w:rsid w:val="00E5680B"/>
    <w:rsid w:val="00E60FE8"/>
    <w:rsid w:val="00E63672"/>
    <w:rsid w:val="00E66164"/>
    <w:rsid w:val="00E67861"/>
    <w:rsid w:val="00E773DD"/>
    <w:rsid w:val="00E83924"/>
    <w:rsid w:val="00E870C9"/>
    <w:rsid w:val="00E96782"/>
    <w:rsid w:val="00EA1704"/>
    <w:rsid w:val="00EA2023"/>
    <w:rsid w:val="00EA7B79"/>
    <w:rsid w:val="00EA7E9A"/>
    <w:rsid w:val="00EB3CE9"/>
    <w:rsid w:val="00EB4942"/>
    <w:rsid w:val="00EC09A5"/>
    <w:rsid w:val="00ED6236"/>
    <w:rsid w:val="00F1026E"/>
    <w:rsid w:val="00F11913"/>
    <w:rsid w:val="00F165CD"/>
    <w:rsid w:val="00F208FB"/>
    <w:rsid w:val="00F2107A"/>
    <w:rsid w:val="00F46A49"/>
    <w:rsid w:val="00F505BA"/>
    <w:rsid w:val="00F54589"/>
    <w:rsid w:val="00F6475C"/>
    <w:rsid w:val="00F719C6"/>
    <w:rsid w:val="00F735CE"/>
    <w:rsid w:val="00F736F0"/>
    <w:rsid w:val="00F83116"/>
    <w:rsid w:val="00F86356"/>
    <w:rsid w:val="00F91830"/>
    <w:rsid w:val="00F93A5B"/>
    <w:rsid w:val="00FB102E"/>
    <w:rsid w:val="00FB4ED7"/>
    <w:rsid w:val="00FC01E8"/>
    <w:rsid w:val="00FC11BF"/>
    <w:rsid w:val="00FC573B"/>
    <w:rsid w:val="00FD3F21"/>
    <w:rsid w:val="00FE3E12"/>
    <w:rsid w:val="00FF0739"/>
    <w:rsid w:val="00FF09A1"/>
    <w:rsid w:val="00FF20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D59724-6FA2-4248-B44C-FFAB4D57D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125DC"/>
    <w:pPr>
      <w:spacing w:line="240" w:lineRule="auto"/>
    </w:pPr>
  </w:style>
  <w:style w:type="character" w:customStyle="1" w:styleId="FootnoteTextChar">
    <w:name w:val="Footnote Text Char"/>
    <w:basedOn w:val="DefaultParagraphFont"/>
    <w:link w:val="FootnoteText"/>
    <w:uiPriority w:val="99"/>
    <w:semiHidden/>
    <w:rsid w:val="00D125DC"/>
  </w:style>
  <w:style w:type="character" w:styleId="FootnoteReference">
    <w:name w:val="footnote reference"/>
    <w:basedOn w:val="DefaultParagraphFont"/>
    <w:uiPriority w:val="99"/>
    <w:semiHidden/>
    <w:unhideWhenUsed/>
    <w:rsid w:val="00D125DC"/>
    <w:rPr>
      <w:vertAlign w:val="superscript"/>
    </w:rPr>
  </w:style>
  <w:style w:type="paragraph" w:styleId="BalloonText">
    <w:name w:val="Balloon Text"/>
    <w:basedOn w:val="Normal"/>
    <w:link w:val="BalloonTextChar"/>
    <w:uiPriority w:val="99"/>
    <w:semiHidden/>
    <w:unhideWhenUsed/>
    <w:rsid w:val="009F526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264"/>
    <w:rPr>
      <w:rFonts w:ascii="Segoe UI" w:hAnsi="Segoe UI" w:cs="Segoe UI"/>
      <w:sz w:val="18"/>
      <w:szCs w:val="18"/>
    </w:rPr>
  </w:style>
  <w:style w:type="paragraph" w:styleId="Header">
    <w:name w:val="header"/>
    <w:basedOn w:val="Normal"/>
    <w:link w:val="HeaderChar"/>
    <w:uiPriority w:val="99"/>
    <w:unhideWhenUsed/>
    <w:rsid w:val="009F5264"/>
    <w:pPr>
      <w:tabs>
        <w:tab w:val="center" w:pos="4680"/>
        <w:tab w:val="right" w:pos="9360"/>
      </w:tabs>
      <w:spacing w:line="240" w:lineRule="auto"/>
    </w:pPr>
  </w:style>
  <w:style w:type="character" w:customStyle="1" w:styleId="HeaderChar">
    <w:name w:val="Header Char"/>
    <w:basedOn w:val="DefaultParagraphFont"/>
    <w:link w:val="Header"/>
    <w:uiPriority w:val="99"/>
    <w:rsid w:val="009F5264"/>
  </w:style>
  <w:style w:type="paragraph" w:styleId="Footer">
    <w:name w:val="footer"/>
    <w:basedOn w:val="Normal"/>
    <w:link w:val="FooterChar"/>
    <w:uiPriority w:val="99"/>
    <w:unhideWhenUsed/>
    <w:rsid w:val="009F5264"/>
    <w:pPr>
      <w:tabs>
        <w:tab w:val="center" w:pos="4680"/>
        <w:tab w:val="right" w:pos="9360"/>
      </w:tabs>
      <w:spacing w:line="240" w:lineRule="auto"/>
    </w:pPr>
  </w:style>
  <w:style w:type="character" w:customStyle="1" w:styleId="FooterChar">
    <w:name w:val="Footer Char"/>
    <w:basedOn w:val="DefaultParagraphFont"/>
    <w:link w:val="Footer"/>
    <w:uiPriority w:val="99"/>
    <w:rsid w:val="009F5264"/>
  </w:style>
  <w:style w:type="character" w:styleId="Hyperlink">
    <w:name w:val="Hyperlink"/>
    <w:basedOn w:val="DefaultParagraphFont"/>
    <w:uiPriority w:val="99"/>
    <w:unhideWhenUsed/>
    <w:rsid w:val="002D06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departments.bucknell.edu/russian/const/1936toc.html" TargetMode="External"/><Relationship Id="rId1" Type="http://schemas.openxmlformats.org/officeDocument/2006/relationships/hyperlink" Target="mailto:bix@um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BEA49-6265-4625-95D4-AA8F330CF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6310</Words>
  <Characters>35971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42197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 Bix</dc:creator>
  <cp:keywords/>
  <dc:description/>
  <cp:lastModifiedBy>Hammad</cp:lastModifiedBy>
  <cp:revision>2</cp:revision>
  <cp:lastPrinted>2017-07-13T17:38:00Z</cp:lastPrinted>
  <dcterms:created xsi:type="dcterms:W3CDTF">2023-03-28T06:35:00Z</dcterms:created>
  <dcterms:modified xsi:type="dcterms:W3CDTF">2023-03-28T06:35:00Z</dcterms:modified>
</cp:coreProperties>
</file>